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8940" w:type="dxa"/>
        <w:jc w:val="left"/>
        <w:tblInd w:w="0" w:type="dxa"/>
        <w:tblLayout w:type="fixed"/>
        <w:tblCellMar>
          <w:top w:w="0" w:type="dxa"/>
          <w:left w:w="108" w:type="dxa"/>
          <w:bottom w:w="0" w:type="dxa"/>
          <w:right w:w="108" w:type="dxa"/>
        </w:tblCellMar>
      </w:tblPr>
      <w:tblGrid>
        <w:gridCol w:w="2375"/>
        <w:gridCol w:w="6565"/>
      </w:tblGrid>
      <w:tr>
        <w:trPr/>
        <w:tc>
          <w:tcPr>
            <w:tcW w:w="237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before="0" w:after="200"/>
              <w:ind w:hanging="0" w:left="0"/>
              <w:jc w:val="left"/>
              <w:rPr>
                <w:color w:val="000000"/>
              </w:rPr>
            </w:pPr>
            <w:r>
              <w:rPr>
                <w:color w:val="000000"/>
                <w:sz w:val="20"/>
                <w:szCs w:val="20"/>
                <w:shd w:fill="auto" w:val="clear"/>
              </w:rPr>
              <w:t>Nazwa elementu projektu budowlanego</w:t>
            </w:r>
          </w:p>
        </w:tc>
        <w:tc>
          <w:tcPr>
            <w:tcW w:w="656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before="0" w:after="200"/>
              <w:ind w:hanging="0" w:left="0"/>
              <w:jc w:val="center"/>
              <w:rPr>
                <w:color w:val="000000"/>
              </w:rPr>
            </w:pPr>
            <w:r>
              <w:rPr>
                <w:b/>
                <w:bCs/>
                <w:color w:val="000000"/>
                <w:sz w:val="29"/>
                <w:szCs w:val="29"/>
                <w:shd w:fill="auto" w:val="clear"/>
              </w:rPr>
              <w:t>PROJEKT BUDOWLANY</w:t>
            </w:r>
          </w:p>
        </w:tc>
      </w:tr>
      <w:tr>
        <w:trPr/>
        <w:tc>
          <w:tcPr>
            <w:tcW w:w="237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before="0" w:after="200"/>
              <w:ind w:hanging="0" w:left="0"/>
              <w:jc w:val="left"/>
              <w:rPr>
                <w:color w:val="000000"/>
              </w:rPr>
            </w:pPr>
            <w:r>
              <w:rPr>
                <w:color w:val="000000"/>
                <w:sz w:val="20"/>
                <w:szCs w:val="20"/>
                <w:shd w:fill="auto" w:val="clear"/>
              </w:rPr>
              <w:t>Numer egzemplarza</w:t>
            </w:r>
          </w:p>
        </w:tc>
        <w:tc>
          <w:tcPr>
            <w:tcW w:w="656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before="0" w:after="200"/>
              <w:ind w:hanging="0" w:left="0"/>
              <w:jc w:val="center"/>
              <w:rPr>
                <w:color w:val="000000"/>
              </w:rPr>
            </w:pPr>
            <w:r>
              <w:rPr>
                <w:b/>
                <w:bCs/>
                <w:color w:val="000000"/>
                <w:sz w:val="72"/>
                <w:szCs w:val="72"/>
                <w:shd w:fill="auto" w:val="clear"/>
              </w:rPr>
              <w:t>1</w:t>
            </w:r>
          </w:p>
        </w:tc>
      </w:tr>
      <w:tr>
        <w:trPr/>
        <w:tc>
          <w:tcPr>
            <w:tcW w:w="237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before="0" w:after="200"/>
              <w:ind w:hanging="0" w:left="0"/>
              <w:jc w:val="left"/>
              <w:rPr>
                <w:color w:val="000000"/>
              </w:rPr>
            </w:pPr>
            <w:r>
              <w:rPr>
                <w:color w:val="000000"/>
                <w:sz w:val="20"/>
                <w:szCs w:val="20"/>
                <w:shd w:fill="auto" w:val="clear"/>
              </w:rPr>
              <w:t>Nazwa zamierzenia budowlanego</w:t>
            </w:r>
          </w:p>
        </w:tc>
        <w:tc>
          <w:tcPr>
            <w:tcW w:w="656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hanging="0" w:left="0"/>
              <w:jc w:val="center"/>
              <w:rPr>
                <w:color w:val="000000"/>
              </w:rPr>
            </w:pPr>
            <w:r>
              <w:rPr>
                <w:b/>
                <w:color w:val="000000"/>
                <w:sz w:val="22"/>
                <w:szCs w:val="22"/>
              </w:rPr>
              <w:t xml:space="preserve">PROJEKT PRZEBUDOWY BUDYNKU </w:t>
            </w:r>
            <w:r>
              <w:rPr>
                <w:b/>
                <w:color w:val="000000"/>
                <w:sz w:val="22"/>
                <w:szCs w:val="22"/>
              </w:rPr>
              <w:t>ZESPOŁU SZKOLNO PRZEDSZKOLNEGO</w:t>
            </w:r>
            <w:r>
              <w:rPr>
                <w:b/>
                <w:color w:val="000000"/>
                <w:sz w:val="22"/>
                <w:szCs w:val="22"/>
              </w:rPr>
              <w:t xml:space="preserve"> W ZALASOWEJ</w:t>
            </w:r>
          </w:p>
          <w:p>
            <w:pPr>
              <w:pStyle w:val="Normal"/>
              <w:widowControl w:val="false"/>
              <w:spacing w:lineRule="auto" w:line="240" w:before="0" w:after="200"/>
              <w:ind w:hanging="0" w:left="0"/>
              <w:jc w:val="center"/>
              <w:rPr>
                <w:color w:val="000000"/>
              </w:rPr>
            </w:pPr>
            <w:r>
              <w:rPr>
                <w:b w:val="false"/>
                <w:color w:val="000000"/>
                <w:sz w:val="22"/>
                <w:szCs w:val="22"/>
                <w:shd w:fill="auto" w:val="clear"/>
              </w:rPr>
              <w:t>(DOSTOSOWANIE DO POTRZEB OSÓB NIEPEŁNOSPRAWNYCH TOALETY ZNAJDUJĄCEJ SIĘ NA PARTERZE WRAZ Z INSTALACJAMI WEWNĘTRZNYMI, WYKONANIE ZEWNĘTRZNEGO PODJAZDU DLA OSÓB NIEPEŁNOSPRAWNYCH WRAZ Z PRZEBUDOWĄ SCHODÓW WEJŚCIOWYCH, DOSTOSOWANIE BUDYNKU DO AKTUALNYCH PRZEPISÓW OCHRONY POŻAROWEJ WRAZ Z INSTALACJAMI WEWNĘTRZNYMI)</w:t>
            </w:r>
          </w:p>
        </w:tc>
      </w:tr>
      <w:tr>
        <w:trPr/>
        <w:tc>
          <w:tcPr>
            <w:tcW w:w="237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before="0" w:after="200"/>
              <w:ind w:hanging="0" w:left="0"/>
              <w:jc w:val="left"/>
              <w:rPr>
                <w:color w:val="000000"/>
              </w:rPr>
            </w:pPr>
            <w:r>
              <w:rPr>
                <w:color w:val="000000"/>
                <w:sz w:val="20"/>
                <w:szCs w:val="20"/>
                <w:shd w:fill="auto" w:val="clear"/>
              </w:rPr>
              <w:t>Kategoria obiektu budowlanego</w:t>
            </w:r>
          </w:p>
        </w:tc>
        <w:tc>
          <w:tcPr>
            <w:tcW w:w="656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before="0" w:after="200"/>
              <w:ind w:hanging="0" w:left="0"/>
              <w:jc w:val="center"/>
              <w:rPr>
                <w:color w:val="000000"/>
              </w:rPr>
            </w:pPr>
            <w:r>
              <w:rPr>
                <w:b/>
                <w:bCs/>
                <w:color w:val="000000"/>
                <w:sz w:val="24"/>
                <w:szCs w:val="24"/>
                <w:shd w:fill="auto" w:val="clear"/>
              </w:rPr>
              <w:t>IX</w:t>
            </w:r>
          </w:p>
        </w:tc>
      </w:tr>
      <w:tr>
        <w:trPr/>
        <w:tc>
          <w:tcPr>
            <w:tcW w:w="237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before="0" w:after="200"/>
              <w:ind w:hanging="0" w:left="0"/>
              <w:jc w:val="left"/>
              <w:rPr>
                <w:color w:val="000000"/>
              </w:rPr>
            </w:pPr>
            <w:r>
              <w:rPr>
                <w:color w:val="000000"/>
                <w:sz w:val="20"/>
                <w:szCs w:val="20"/>
                <w:shd w:fill="auto" w:val="clear"/>
              </w:rPr>
              <w:t>Adres obiektu budowlanego</w:t>
            </w:r>
          </w:p>
        </w:tc>
        <w:tc>
          <w:tcPr>
            <w:tcW w:w="656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before="0" w:after="200"/>
              <w:ind w:hanging="0" w:left="0"/>
              <w:jc w:val="center"/>
              <w:rPr>
                <w:color w:val="000000"/>
              </w:rPr>
            </w:pPr>
            <w:r>
              <w:rPr>
                <w:color w:val="000000"/>
                <w:sz w:val="20"/>
                <w:szCs w:val="20"/>
                <w:shd w:fill="auto" w:val="clear"/>
              </w:rPr>
              <w:t xml:space="preserve">WOJ. MAŁOPOLSKIE, POW. TARNOWSKI, </w:t>
              <w:br/>
              <w:t>GM. RYGLICE</w:t>
            </w:r>
          </w:p>
        </w:tc>
      </w:tr>
      <w:tr>
        <w:trPr/>
        <w:tc>
          <w:tcPr>
            <w:tcW w:w="237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ind w:hanging="0" w:left="0"/>
              <w:jc w:val="left"/>
              <w:rPr>
                <w:color w:val="000000"/>
              </w:rPr>
            </w:pPr>
            <w:r>
              <w:rPr>
                <w:color w:val="000000"/>
                <w:sz w:val="20"/>
                <w:szCs w:val="20"/>
                <w:shd w:fill="auto" w:val="clear"/>
              </w:rPr>
              <w:t>- nazwa jednostki ewidencyjnej</w:t>
            </w:r>
          </w:p>
          <w:p>
            <w:pPr>
              <w:pStyle w:val="Normal"/>
              <w:widowControl w:val="false"/>
              <w:ind w:hanging="0" w:left="0"/>
              <w:jc w:val="left"/>
              <w:rPr>
                <w:color w:val="000000"/>
              </w:rPr>
            </w:pPr>
            <w:r>
              <w:rPr>
                <w:color w:val="000000"/>
                <w:sz w:val="20"/>
                <w:szCs w:val="20"/>
                <w:shd w:fill="auto" w:val="clear"/>
              </w:rPr>
              <w:t>- nazwa i numer obrębu ewidencyjnego</w:t>
            </w:r>
          </w:p>
          <w:p>
            <w:pPr>
              <w:pStyle w:val="Normal"/>
              <w:widowControl w:val="false"/>
              <w:ind w:hanging="0" w:left="0"/>
              <w:jc w:val="left"/>
              <w:rPr>
                <w:color w:val="000000"/>
              </w:rPr>
            </w:pPr>
            <w:r>
              <w:rPr>
                <w:color w:val="000000"/>
                <w:sz w:val="20"/>
                <w:szCs w:val="20"/>
                <w:shd w:fill="auto" w:val="clear"/>
              </w:rPr>
              <w:t>-  numer działki ewidencyjnej, na której obiekt jest usytuowany</w:t>
            </w:r>
          </w:p>
          <w:p>
            <w:pPr>
              <w:pStyle w:val="Normal"/>
              <w:widowControl w:val="false"/>
              <w:spacing w:before="0" w:after="200"/>
              <w:ind w:hanging="0" w:left="0"/>
              <w:jc w:val="left"/>
              <w:rPr>
                <w:color w:val="000000"/>
              </w:rPr>
            </w:pPr>
            <w:r>
              <w:rPr>
                <w:color w:val="000000"/>
                <w:sz w:val="20"/>
                <w:szCs w:val="20"/>
                <w:shd w:fill="auto" w:val="clear"/>
              </w:rPr>
              <w:t>-identyfikator działki ewidencyjnej</w:t>
            </w:r>
          </w:p>
        </w:tc>
        <w:tc>
          <w:tcPr>
            <w:tcW w:w="656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before="0" w:after="0"/>
              <w:ind w:hanging="0" w:left="0"/>
              <w:rPr>
                <w:color w:val="000000"/>
              </w:rPr>
            </w:pPr>
            <w:r>
              <w:rPr>
                <w:color w:val="000000"/>
                <w:sz w:val="20"/>
                <w:szCs w:val="20"/>
                <w:shd w:fill="auto" w:val="clear"/>
              </w:rPr>
              <w:t>- RYGLICE</w:t>
            </w:r>
          </w:p>
          <w:p>
            <w:pPr>
              <w:pStyle w:val="Normal"/>
              <w:widowControl w:val="false"/>
              <w:spacing w:lineRule="auto" w:line="240" w:before="0" w:after="0"/>
              <w:ind w:hanging="0" w:left="0"/>
              <w:rPr>
                <w:rFonts w:ascii="Times New Roman" w:hAnsi="Times New Roman"/>
                <w:color w:val="000000"/>
                <w:sz w:val="20"/>
                <w:szCs w:val="20"/>
                <w:shd w:fill="auto" w:val="clear"/>
              </w:rPr>
            </w:pPr>
            <w:r>
              <w:rPr>
                <w:color w:val="000000"/>
                <w:sz w:val="20"/>
                <w:szCs w:val="20"/>
                <w:shd w:fill="auto" w:val="clear"/>
              </w:rPr>
            </w:r>
          </w:p>
          <w:p>
            <w:pPr>
              <w:pStyle w:val="Normal"/>
              <w:widowControl w:val="false"/>
              <w:spacing w:lineRule="auto" w:line="240" w:before="0" w:after="0"/>
              <w:ind w:hanging="0" w:left="0"/>
              <w:rPr>
                <w:rFonts w:ascii="Times New Roman" w:hAnsi="Times New Roman"/>
                <w:color w:val="000000"/>
                <w:sz w:val="20"/>
                <w:szCs w:val="20"/>
                <w:shd w:fill="auto" w:val="clear"/>
              </w:rPr>
            </w:pPr>
            <w:r>
              <w:rPr>
                <w:color w:val="000000"/>
                <w:sz w:val="20"/>
                <w:szCs w:val="20"/>
                <w:shd w:fill="auto" w:val="clear"/>
              </w:rPr>
            </w:r>
          </w:p>
          <w:p>
            <w:pPr>
              <w:pStyle w:val="Normal"/>
              <w:widowControl w:val="false"/>
              <w:spacing w:lineRule="auto" w:line="240" w:before="0" w:after="0"/>
              <w:ind w:hanging="0" w:left="0"/>
              <w:rPr>
                <w:color w:val="000000"/>
              </w:rPr>
            </w:pPr>
            <w:r>
              <w:rPr>
                <w:color w:val="000000"/>
                <w:sz w:val="20"/>
                <w:szCs w:val="20"/>
                <w:shd w:fill="auto" w:val="clear"/>
              </w:rPr>
              <w:t>- OBRĘB 0008</w:t>
            </w:r>
          </w:p>
          <w:p>
            <w:pPr>
              <w:pStyle w:val="Normal"/>
              <w:widowControl w:val="false"/>
              <w:spacing w:lineRule="auto" w:line="240" w:before="0" w:after="0"/>
              <w:ind w:hanging="0" w:left="0"/>
              <w:rPr>
                <w:rFonts w:ascii="Times New Roman" w:hAnsi="Times New Roman"/>
                <w:color w:val="000000"/>
                <w:sz w:val="20"/>
                <w:szCs w:val="20"/>
                <w:shd w:fill="auto" w:val="clear"/>
              </w:rPr>
            </w:pPr>
            <w:r>
              <w:rPr>
                <w:color w:val="000000"/>
                <w:sz w:val="20"/>
                <w:szCs w:val="20"/>
                <w:shd w:fill="auto" w:val="clear"/>
              </w:rPr>
              <w:t>ZALASOWA</w:t>
            </w:r>
          </w:p>
          <w:p>
            <w:pPr>
              <w:pStyle w:val="Normal"/>
              <w:widowControl w:val="false"/>
              <w:ind w:hanging="0" w:left="0"/>
              <w:jc w:val="both"/>
              <w:rPr>
                <w:rFonts w:ascii="Times New Roman" w:hAnsi="Times New Roman"/>
                <w:color w:val="000000"/>
                <w:sz w:val="20"/>
                <w:szCs w:val="20"/>
                <w:shd w:fill="auto" w:val="clear"/>
              </w:rPr>
            </w:pPr>
            <w:r>
              <w:rPr>
                <w:color w:val="000000"/>
                <w:sz w:val="20"/>
                <w:szCs w:val="20"/>
                <w:shd w:fill="auto" w:val="clear"/>
              </w:rPr>
            </w:r>
          </w:p>
          <w:p>
            <w:pPr>
              <w:pStyle w:val="Normal"/>
              <w:widowControl w:val="false"/>
              <w:ind w:hanging="0" w:left="0"/>
              <w:jc w:val="both"/>
              <w:rPr>
                <w:color w:val="000000"/>
              </w:rPr>
            </w:pPr>
            <w:r>
              <w:rPr>
                <w:color w:val="000000"/>
                <w:sz w:val="20"/>
                <w:szCs w:val="20"/>
                <w:shd w:fill="auto" w:val="clear"/>
              </w:rPr>
              <w:t>-DZ. NR 1674</w:t>
            </w:r>
          </w:p>
          <w:p>
            <w:pPr>
              <w:pStyle w:val="Normal"/>
              <w:widowControl w:val="false"/>
              <w:spacing w:lineRule="auto" w:line="240" w:before="0" w:after="0"/>
              <w:ind w:hanging="0" w:left="0"/>
              <w:jc w:val="left"/>
              <w:rPr>
                <w:rFonts w:ascii="Times New Roman" w:hAnsi="Times New Roman"/>
                <w:b w:val="false"/>
                <w:bCs w:val="false"/>
                <w:i w:val="false"/>
                <w:caps w:val="false"/>
                <w:smallCaps w:val="false"/>
                <w:color w:val="000000"/>
                <w:spacing w:val="0"/>
                <w:sz w:val="20"/>
                <w:szCs w:val="20"/>
                <w:shd w:fill="auto" w:val="clear"/>
              </w:rPr>
            </w:pPr>
            <w:r>
              <w:rPr>
                <w:b w:val="false"/>
                <w:bCs w:val="false"/>
                <w:i w:val="false"/>
                <w:caps w:val="false"/>
                <w:smallCaps w:val="false"/>
                <w:color w:val="000000"/>
                <w:spacing w:val="0"/>
                <w:sz w:val="20"/>
                <w:szCs w:val="20"/>
                <w:shd w:fill="auto" w:val="clear"/>
              </w:rPr>
            </w:r>
          </w:p>
          <w:p>
            <w:pPr>
              <w:pStyle w:val="Normal"/>
              <w:widowControl w:val="false"/>
              <w:spacing w:lineRule="auto" w:line="240" w:before="0" w:after="0"/>
              <w:ind w:hanging="0" w:left="0"/>
              <w:jc w:val="left"/>
              <w:rPr>
                <w:rFonts w:ascii="Times New Roman" w:hAnsi="Times New Roman"/>
                <w:b w:val="false"/>
                <w:bCs w:val="false"/>
                <w:i w:val="false"/>
                <w:caps w:val="false"/>
                <w:smallCaps w:val="false"/>
                <w:color w:val="000000"/>
                <w:spacing w:val="0"/>
                <w:sz w:val="20"/>
                <w:szCs w:val="20"/>
                <w:shd w:fill="auto" w:val="clear"/>
              </w:rPr>
            </w:pPr>
            <w:r>
              <w:rPr>
                <w:b w:val="false"/>
                <w:bCs w:val="false"/>
                <w:i w:val="false"/>
                <w:caps w:val="false"/>
                <w:smallCaps w:val="false"/>
                <w:color w:val="000000"/>
                <w:spacing w:val="0"/>
                <w:sz w:val="20"/>
                <w:szCs w:val="20"/>
                <w:shd w:fill="auto" w:val="clear"/>
              </w:rPr>
            </w:r>
          </w:p>
          <w:p>
            <w:pPr>
              <w:pStyle w:val="Normal"/>
              <w:widowControl w:val="false"/>
              <w:spacing w:lineRule="auto" w:line="240" w:before="0" w:after="0"/>
              <w:ind w:hanging="0" w:left="0"/>
              <w:jc w:val="left"/>
              <w:rPr>
                <w:color w:val="000000"/>
              </w:rPr>
            </w:pPr>
            <w:r>
              <w:rPr>
                <w:b w:val="false"/>
                <w:bCs w:val="false"/>
                <w:i w:val="false"/>
                <w:caps w:val="false"/>
                <w:smallCaps w:val="false"/>
                <w:color w:val="000000"/>
                <w:spacing w:val="0"/>
                <w:sz w:val="20"/>
                <w:szCs w:val="20"/>
                <w:shd w:fill="auto" w:val="clear"/>
              </w:rPr>
              <w:t>-121606_5.0008.1674</w:t>
            </w:r>
          </w:p>
          <w:p>
            <w:pPr>
              <w:pStyle w:val="Normal"/>
              <w:widowControl w:val="false"/>
              <w:spacing w:lineRule="auto" w:line="240" w:before="0" w:after="0"/>
              <w:ind w:hanging="0" w:left="0"/>
              <w:rPr>
                <w:rFonts w:ascii="Times New Roman" w:hAnsi="Times New Roman"/>
                <w:color w:val="000000"/>
                <w:shd w:fill="auto" w:val="clear"/>
              </w:rPr>
            </w:pPr>
            <w:r>
              <w:rPr>
                <w:color w:val="000000"/>
                <w:shd w:fill="auto" w:val="clear"/>
              </w:rPr>
            </w:r>
          </w:p>
        </w:tc>
      </w:tr>
      <w:tr>
        <w:trPr>
          <w:trHeight w:val="730" w:hRule="atLeast"/>
        </w:trPr>
        <w:tc>
          <w:tcPr>
            <w:tcW w:w="237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ind w:hanging="0" w:left="0"/>
              <w:jc w:val="left"/>
              <w:rPr>
                <w:color w:val="000000"/>
              </w:rPr>
            </w:pPr>
            <w:r>
              <w:rPr>
                <w:color w:val="000000"/>
                <w:sz w:val="20"/>
                <w:szCs w:val="20"/>
                <w:shd w:fill="auto" w:val="clear"/>
              </w:rPr>
              <w:t>Imię i nazwisko inwestora,</w:t>
            </w:r>
          </w:p>
          <w:p>
            <w:pPr>
              <w:pStyle w:val="Normal"/>
              <w:widowControl w:val="false"/>
              <w:spacing w:before="0" w:after="200"/>
              <w:ind w:hanging="0" w:left="0"/>
              <w:jc w:val="left"/>
              <w:rPr>
                <w:color w:val="000000"/>
              </w:rPr>
            </w:pPr>
            <w:r>
              <w:rPr>
                <w:color w:val="000000"/>
                <w:sz w:val="20"/>
                <w:szCs w:val="20"/>
                <w:shd w:fill="auto" w:val="clear"/>
              </w:rPr>
              <w:t>Adres inwestora</w:t>
            </w:r>
          </w:p>
        </w:tc>
        <w:tc>
          <w:tcPr>
            <w:tcW w:w="656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tabs>
                <w:tab w:val="clear" w:pos="708"/>
                <w:tab w:val="left" w:pos="2592" w:leader="none"/>
              </w:tabs>
              <w:spacing w:lineRule="auto" w:line="240" w:before="0" w:after="0"/>
              <w:ind w:hanging="0" w:left="0"/>
              <w:jc w:val="center"/>
              <w:rPr>
                <w:color w:val="000000"/>
              </w:rPr>
            </w:pPr>
            <w:r>
              <w:rPr>
                <w:rFonts w:eastAsia="Garamond"/>
                <w:b w:val="false"/>
                <w:bCs w:val="false"/>
                <w:color w:val="000000"/>
                <w:sz w:val="24"/>
                <w:szCs w:val="24"/>
                <w:shd w:fill="auto" w:val="clear"/>
              </w:rPr>
              <w:t>Gmina Ryglice</w:t>
            </w:r>
          </w:p>
          <w:p>
            <w:pPr>
              <w:pStyle w:val="Normal"/>
              <w:widowControl w:val="false"/>
              <w:tabs>
                <w:tab w:val="clear" w:pos="708"/>
                <w:tab w:val="left" w:pos="2592" w:leader="none"/>
              </w:tabs>
              <w:spacing w:lineRule="auto" w:line="240" w:before="0" w:after="0"/>
              <w:ind w:hanging="0" w:left="0"/>
              <w:jc w:val="center"/>
              <w:rPr>
                <w:rFonts w:ascii="Times New Roman" w:hAnsi="Times New Roman" w:eastAsia="Garamond"/>
                <w:b w:val="false"/>
                <w:bCs w:val="false"/>
                <w:color w:val="000000"/>
                <w:sz w:val="24"/>
                <w:szCs w:val="24"/>
                <w:shd w:fill="auto" w:val="clear"/>
              </w:rPr>
            </w:pPr>
            <w:r>
              <w:rPr>
                <w:rFonts w:eastAsia="Garamond"/>
                <w:b w:val="false"/>
                <w:bCs w:val="false"/>
                <w:color w:val="000000"/>
                <w:sz w:val="24"/>
                <w:szCs w:val="24"/>
                <w:shd w:fill="auto" w:val="clear"/>
              </w:rPr>
            </w:r>
          </w:p>
          <w:p>
            <w:pPr>
              <w:pStyle w:val="Normal"/>
              <w:widowControl w:val="false"/>
              <w:tabs>
                <w:tab w:val="clear" w:pos="708"/>
                <w:tab w:val="left" w:pos="2592" w:leader="none"/>
              </w:tabs>
              <w:spacing w:lineRule="auto" w:line="240" w:before="0" w:after="0"/>
              <w:ind w:hanging="0" w:left="0"/>
              <w:jc w:val="center"/>
              <w:rPr>
                <w:color w:val="000000"/>
              </w:rPr>
            </w:pPr>
            <w:r>
              <w:rPr>
                <w:rFonts w:eastAsia="Garamond"/>
                <w:b w:val="false"/>
                <w:bCs w:val="false"/>
                <w:color w:val="000000"/>
                <w:sz w:val="24"/>
                <w:szCs w:val="24"/>
                <w:shd w:fill="auto" w:val="clear"/>
              </w:rPr>
              <w:t>Zespół Szkolno Przedszkolny w Zalasowej,</w:t>
            </w:r>
          </w:p>
          <w:p>
            <w:pPr>
              <w:pStyle w:val="Normal"/>
              <w:widowControl w:val="false"/>
              <w:tabs>
                <w:tab w:val="clear" w:pos="708"/>
                <w:tab w:val="left" w:pos="2592" w:leader="none"/>
              </w:tabs>
              <w:spacing w:lineRule="auto" w:line="240" w:before="0" w:after="0"/>
              <w:ind w:hanging="0" w:left="0"/>
              <w:jc w:val="center"/>
              <w:rPr>
                <w:color w:val="000000"/>
              </w:rPr>
            </w:pPr>
            <w:r>
              <w:rPr>
                <w:rFonts w:eastAsia="Garamond"/>
                <w:b w:val="false"/>
                <w:bCs w:val="false"/>
                <w:color w:val="000000"/>
                <w:sz w:val="24"/>
                <w:szCs w:val="24"/>
                <w:shd w:fill="auto" w:val="clear"/>
              </w:rPr>
              <w:t>ul. Karpacka 21, 33-159 Zalasowa</w:t>
            </w:r>
          </w:p>
        </w:tc>
      </w:tr>
    </w:tbl>
    <w:p>
      <w:pPr>
        <w:pStyle w:val="Normal"/>
        <w:spacing w:lineRule="auto" w:line="240" w:before="0" w:after="0"/>
        <w:ind w:hanging="0" w:left="0"/>
        <w:jc w:val="both"/>
        <w:rPr>
          <w:rFonts w:ascii="Times New Roman" w:hAnsi="Times New Roman"/>
          <w:b/>
          <w:color w:val="000000"/>
          <w:sz w:val="20"/>
          <w:szCs w:val="20"/>
          <w:u w:val="single"/>
          <w:shd w:fill="auto" w:val="clear"/>
        </w:rPr>
      </w:pPr>
      <w:r>
        <w:rPr>
          <w:b/>
          <w:color w:val="000000"/>
          <w:sz w:val="20"/>
          <w:szCs w:val="20"/>
          <w:u w:val="single"/>
          <w:shd w:fill="auto" w:val="clear"/>
        </w:rPr>
      </w:r>
    </w:p>
    <w:p>
      <w:pPr>
        <w:pStyle w:val="Normal"/>
        <w:spacing w:lineRule="auto" w:line="240" w:before="0" w:after="0"/>
        <w:ind w:hanging="0" w:left="0"/>
        <w:jc w:val="both"/>
        <w:rPr>
          <w:color w:val="000000"/>
        </w:rPr>
      </w:pPr>
      <w:r>
        <w:rPr>
          <w:b/>
          <w:color w:val="000000"/>
          <w:sz w:val="20"/>
          <w:szCs w:val="20"/>
          <w:u w:val="single"/>
          <w:shd w:fill="auto" w:val="clear"/>
        </w:rPr>
        <w:t>ZESPÓŁ PROJEKTOWY:</w:t>
      </w:r>
    </w:p>
    <w:p>
      <w:pPr>
        <w:pStyle w:val="Normal"/>
        <w:tabs>
          <w:tab w:val="clear" w:pos="708"/>
          <w:tab w:val="left" w:pos="6924" w:leader="none"/>
        </w:tabs>
        <w:spacing w:lineRule="auto" w:line="240" w:before="0" w:after="0"/>
        <w:ind w:hanging="0" w:left="0"/>
        <w:jc w:val="both"/>
        <w:rPr>
          <w:rFonts w:ascii="Times New Roman" w:hAnsi="Times New Roman"/>
          <w:b/>
          <w:color w:val="000000"/>
          <w:sz w:val="20"/>
          <w:szCs w:val="20"/>
          <w:u w:val="single"/>
          <w:shd w:fill="auto" w:val="clear"/>
        </w:rPr>
      </w:pPr>
      <w:r>
        <w:rPr>
          <w:b/>
          <w:color w:val="000000"/>
          <w:sz w:val="20"/>
          <w:szCs w:val="20"/>
          <w:u w:val="single"/>
          <w:shd w:fill="auto" w:val="clear"/>
        </w:rPr>
      </w:r>
    </w:p>
    <w:tbl>
      <w:tblPr>
        <w:tblW w:w="9096" w:type="dxa"/>
        <w:jc w:val="left"/>
        <w:tblInd w:w="-34" w:type="dxa"/>
        <w:tblLayout w:type="fixed"/>
        <w:tblCellMar>
          <w:top w:w="0" w:type="dxa"/>
          <w:left w:w="108" w:type="dxa"/>
          <w:bottom w:w="0" w:type="dxa"/>
          <w:right w:w="108" w:type="dxa"/>
        </w:tblCellMar>
      </w:tblPr>
      <w:tblGrid>
        <w:gridCol w:w="2384"/>
        <w:gridCol w:w="1660"/>
        <w:gridCol w:w="2928"/>
        <w:gridCol w:w="2124"/>
      </w:tblGrid>
      <w:tr>
        <w:trPr/>
        <w:tc>
          <w:tcPr>
            <w:tcW w:w="2384" w:type="dxa"/>
            <w:tcBorders>
              <w:top w:val="single" w:sz="4" w:space="0" w:color="00000A"/>
              <w:left w:val="single" w:sz="4" w:space="0" w:color="00000A"/>
              <w:bottom w:val="single" w:sz="4" w:space="0" w:color="00000A"/>
              <w:right w:val="single" w:sz="4" w:space="0" w:color="00000A"/>
            </w:tcBorders>
          </w:tcPr>
          <w:p>
            <w:pPr>
              <w:pStyle w:val="Normal"/>
              <w:widowControl w:val="false"/>
              <w:spacing w:lineRule="auto" w:line="240" w:before="0" w:after="0"/>
              <w:ind w:hanging="0" w:left="0"/>
              <w:jc w:val="both"/>
              <w:rPr>
                <w:color w:val="000000"/>
              </w:rPr>
            </w:pPr>
            <w:r>
              <w:rPr>
                <w:b/>
                <w:color w:val="000000"/>
                <w:sz w:val="16"/>
                <w:szCs w:val="16"/>
                <w:shd w:fill="auto" w:val="clear"/>
              </w:rPr>
              <w:t xml:space="preserve">     </w:t>
            </w:r>
            <w:r>
              <w:rPr>
                <w:b/>
                <w:color w:val="000000"/>
                <w:sz w:val="16"/>
                <w:szCs w:val="16"/>
                <w:shd w:fill="auto" w:val="clear"/>
              </w:rPr>
              <w:t>Jednostka projektowa</w:t>
            </w:r>
          </w:p>
        </w:tc>
        <w:tc>
          <w:tcPr>
            <w:tcW w:w="1660" w:type="dxa"/>
            <w:tcBorders>
              <w:top w:val="single" w:sz="4" w:space="0" w:color="00000A"/>
              <w:left w:val="single" w:sz="4" w:space="0" w:color="00000A"/>
              <w:bottom w:val="single" w:sz="4" w:space="0" w:color="00000A"/>
              <w:right w:val="single" w:sz="4" w:space="0" w:color="00000A"/>
            </w:tcBorders>
          </w:tcPr>
          <w:p>
            <w:pPr>
              <w:pStyle w:val="Normal"/>
              <w:widowControl w:val="false"/>
              <w:spacing w:lineRule="auto" w:line="240" w:before="0" w:after="0"/>
              <w:ind w:hanging="0" w:left="0"/>
              <w:jc w:val="both"/>
              <w:rPr>
                <w:color w:val="000000"/>
              </w:rPr>
            </w:pPr>
            <w:r>
              <w:rPr>
                <w:b/>
                <w:color w:val="000000"/>
                <w:sz w:val="16"/>
                <w:szCs w:val="16"/>
                <w:shd w:fill="auto" w:val="clear"/>
              </w:rPr>
              <w:t>Branża</w:t>
            </w:r>
          </w:p>
        </w:tc>
        <w:tc>
          <w:tcPr>
            <w:tcW w:w="2928" w:type="dxa"/>
            <w:tcBorders>
              <w:top w:val="single" w:sz="4" w:space="0" w:color="00000A"/>
              <w:left w:val="single" w:sz="4" w:space="0" w:color="00000A"/>
              <w:bottom w:val="single" w:sz="4" w:space="0" w:color="00000A"/>
              <w:right w:val="single" w:sz="4" w:space="0" w:color="00000A"/>
            </w:tcBorders>
          </w:tcPr>
          <w:p>
            <w:pPr>
              <w:pStyle w:val="Normal"/>
              <w:widowControl w:val="false"/>
              <w:spacing w:lineRule="auto" w:line="240" w:before="0" w:after="0"/>
              <w:ind w:hanging="0" w:left="0"/>
              <w:jc w:val="both"/>
              <w:rPr>
                <w:color w:val="000000"/>
              </w:rPr>
            </w:pPr>
            <w:r>
              <w:rPr>
                <w:b/>
                <w:color w:val="000000"/>
                <w:sz w:val="16"/>
                <w:szCs w:val="16"/>
                <w:shd w:fill="auto" w:val="clear"/>
              </w:rPr>
              <w:t>Projektant</w:t>
            </w:r>
          </w:p>
        </w:tc>
        <w:tc>
          <w:tcPr>
            <w:tcW w:w="2124" w:type="dxa"/>
            <w:tcBorders>
              <w:top w:val="single" w:sz="4" w:space="0" w:color="00000A"/>
              <w:left w:val="single" w:sz="4" w:space="0" w:color="00000A"/>
              <w:bottom w:val="single" w:sz="4" w:space="0" w:color="00000A"/>
              <w:right w:val="single" w:sz="4" w:space="0" w:color="00000A"/>
            </w:tcBorders>
          </w:tcPr>
          <w:p>
            <w:pPr>
              <w:pStyle w:val="Normal"/>
              <w:widowControl w:val="false"/>
              <w:spacing w:lineRule="auto" w:line="240" w:before="0" w:after="0"/>
              <w:ind w:hanging="0" w:left="0"/>
              <w:jc w:val="both"/>
              <w:rPr>
                <w:color w:val="000000"/>
              </w:rPr>
            </w:pPr>
            <w:r>
              <w:rPr>
                <w:b/>
                <w:color w:val="000000"/>
                <w:sz w:val="16"/>
                <w:szCs w:val="16"/>
                <w:shd w:fill="auto" w:val="clear"/>
              </w:rPr>
              <w:t>Podpis</w:t>
            </w:r>
          </w:p>
        </w:tc>
      </w:tr>
      <w:tr>
        <w:trPr>
          <w:trHeight w:val="1073" w:hRule="atLeast"/>
        </w:trPr>
        <w:tc>
          <w:tcPr>
            <w:tcW w:w="2384" w:type="dxa"/>
            <w:tcBorders>
              <w:top w:val="single" w:sz="4" w:space="0" w:color="00000A"/>
              <w:left w:val="single" w:sz="4" w:space="0" w:color="00000A"/>
              <w:bottom w:val="single" w:sz="4" w:space="0" w:color="00000A"/>
              <w:right w:val="single" w:sz="4" w:space="0" w:color="00000A"/>
            </w:tcBorders>
          </w:tcPr>
          <w:p>
            <w:pPr>
              <w:pStyle w:val="Normal"/>
              <w:widowControl w:val="false"/>
              <w:spacing w:lineRule="auto" w:line="240" w:before="0" w:after="0"/>
              <w:ind w:hanging="0" w:left="0"/>
              <w:jc w:val="both"/>
              <w:rPr>
                <w:rFonts w:ascii="Times New Roman" w:hAnsi="Times New Roman"/>
                <w:b/>
                <w:color w:val="000000"/>
                <w:sz w:val="16"/>
                <w:szCs w:val="16"/>
                <w:shd w:fill="auto" w:val="clear"/>
              </w:rPr>
            </w:pPr>
            <w:r>
              <w:rPr>
                <w:b/>
                <w:color w:val="000000"/>
                <w:sz w:val="16"/>
                <w:szCs w:val="16"/>
                <w:shd w:fill="auto" w:val="clear"/>
              </w:rPr>
            </w:r>
          </w:p>
          <w:p>
            <w:pPr>
              <w:pStyle w:val="Normal"/>
              <w:widowControl w:val="false"/>
              <w:spacing w:lineRule="auto" w:line="240" w:before="0" w:after="0"/>
              <w:ind w:hanging="0" w:left="0"/>
              <w:jc w:val="left"/>
              <w:rPr/>
            </w:pPr>
            <w:r>
              <w:rPr>
                <w:b/>
                <w:color w:val="000000"/>
                <w:sz w:val="16"/>
                <w:szCs w:val="16"/>
                <w:shd w:fill="auto" w:val="clear"/>
              </w:rPr>
              <w:t>Pracownia Projektowa Architekt Wiktor Solak</w:t>
            </w:r>
          </w:p>
          <w:p>
            <w:pPr>
              <w:pStyle w:val="Normal"/>
              <w:widowControl w:val="false"/>
              <w:spacing w:lineRule="auto" w:line="240" w:before="0" w:after="0"/>
              <w:ind w:hanging="0" w:left="0"/>
              <w:jc w:val="left"/>
              <w:rPr/>
            </w:pPr>
            <w:r>
              <w:rPr>
                <w:color w:val="000000"/>
                <w:sz w:val="16"/>
                <w:szCs w:val="16"/>
                <w:shd w:fill="auto" w:val="clear"/>
              </w:rPr>
              <w:t>Rzuchowa 17</w:t>
            </w:r>
          </w:p>
          <w:p>
            <w:pPr>
              <w:pStyle w:val="Normal"/>
              <w:widowControl w:val="false"/>
              <w:spacing w:lineRule="auto" w:line="240" w:before="0" w:after="0"/>
              <w:ind w:hanging="0" w:left="0"/>
              <w:jc w:val="left"/>
              <w:rPr/>
            </w:pPr>
            <w:r>
              <w:rPr>
                <w:color w:val="000000"/>
                <w:sz w:val="16"/>
                <w:szCs w:val="16"/>
                <w:shd w:fill="auto" w:val="clear"/>
              </w:rPr>
              <w:t>33-114 Rzuchowa</w:t>
            </w:r>
          </w:p>
          <w:p>
            <w:pPr>
              <w:pStyle w:val="Normal"/>
              <w:widowControl w:val="false"/>
              <w:spacing w:lineRule="auto" w:line="240" w:before="0" w:after="0"/>
              <w:ind w:hanging="0" w:left="0"/>
              <w:jc w:val="both"/>
              <w:rPr>
                <w:rFonts w:ascii="Times New Roman" w:hAnsi="Times New Roman"/>
                <w:b/>
                <w:color w:val="000000"/>
                <w:sz w:val="16"/>
                <w:szCs w:val="16"/>
                <w:shd w:fill="auto" w:val="clear"/>
              </w:rPr>
            </w:pPr>
            <w:r>
              <w:rPr>
                <w:b/>
                <w:color w:val="000000"/>
                <w:sz w:val="16"/>
                <w:szCs w:val="16"/>
                <w:shd w:fill="auto" w:val="clear"/>
              </w:rPr>
            </w:r>
          </w:p>
        </w:tc>
        <w:tc>
          <w:tcPr>
            <w:tcW w:w="1660" w:type="dxa"/>
            <w:tcBorders>
              <w:top w:val="single" w:sz="4" w:space="0" w:color="00000A"/>
              <w:left w:val="single" w:sz="4" w:space="0" w:color="00000A"/>
              <w:bottom w:val="single" w:sz="4" w:space="0" w:color="00000A"/>
              <w:right w:val="single" w:sz="4" w:space="0" w:color="00000A"/>
            </w:tcBorders>
          </w:tcPr>
          <w:p>
            <w:pPr>
              <w:pStyle w:val="Normal"/>
              <w:widowControl w:val="false"/>
              <w:spacing w:lineRule="auto" w:line="240" w:before="0" w:after="0"/>
              <w:ind w:hanging="0" w:left="0"/>
              <w:jc w:val="both"/>
              <w:rPr>
                <w:rFonts w:ascii="Times New Roman" w:hAnsi="Times New Roman"/>
                <w:b/>
                <w:color w:val="000000"/>
                <w:sz w:val="16"/>
                <w:szCs w:val="16"/>
                <w:shd w:fill="auto" w:val="clear"/>
              </w:rPr>
            </w:pPr>
            <w:r>
              <w:rPr>
                <w:b/>
                <w:color w:val="000000"/>
                <w:sz w:val="16"/>
                <w:szCs w:val="16"/>
                <w:shd w:fill="auto" w:val="clear"/>
              </w:rPr>
            </w:r>
          </w:p>
          <w:p>
            <w:pPr>
              <w:pStyle w:val="Normal"/>
              <w:widowControl w:val="false"/>
              <w:spacing w:lineRule="auto" w:line="240" w:before="0" w:after="0"/>
              <w:ind w:hanging="0" w:left="0"/>
              <w:jc w:val="both"/>
              <w:rPr>
                <w:color w:val="000000"/>
              </w:rPr>
            </w:pPr>
            <w:r>
              <w:rPr>
                <w:b/>
                <w:color w:val="000000"/>
                <w:sz w:val="16"/>
                <w:szCs w:val="16"/>
                <w:shd w:fill="auto" w:val="clear"/>
              </w:rPr>
              <w:t>Architektura</w:t>
            </w:r>
          </w:p>
          <w:p>
            <w:pPr>
              <w:pStyle w:val="Normal"/>
              <w:widowControl w:val="false"/>
              <w:spacing w:lineRule="auto" w:line="240" w:before="0" w:after="0"/>
              <w:ind w:hanging="0" w:left="0"/>
              <w:jc w:val="both"/>
              <w:rPr>
                <w:rFonts w:ascii="Times New Roman" w:hAnsi="Times New Roman"/>
                <w:b/>
                <w:color w:val="000000"/>
                <w:sz w:val="16"/>
                <w:szCs w:val="16"/>
                <w:shd w:fill="auto" w:val="clear"/>
              </w:rPr>
            </w:pPr>
            <w:r>
              <w:rPr>
                <w:b/>
                <w:color w:val="000000"/>
                <w:sz w:val="16"/>
                <w:szCs w:val="16"/>
                <w:shd w:fill="auto" w:val="clear"/>
              </w:rPr>
            </w:r>
          </w:p>
        </w:tc>
        <w:tc>
          <w:tcPr>
            <w:tcW w:w="2928" w:type="dxa"/>
            <w:tcBorders>
              <w:top w:val="single" w:sz="4" w:space="0" w:color="00000A"/>
              <w:left w:val="single" w:sz="4" w:space="0" w:color="00000A"/>
              <w:bottom w:val="single" w:sz="4" w:space="0" w:color="00000A"/>
              <w:right w:val="single" w:sz="4" w:space="0" w:color="00000A"/>
            </w:tcBorders>
          </w:tcPr>
          <w:p>
            <w:pPr>
              <w:pStyle w:val="Normal"/>
              <w:widowControl w:val="false"/>
              <w:spacing w:lineRule="auto" w:line="240" w:before="0" w:after="0"/>
              <w:ind w:hanging="0" w:left="0"/>
              <w:jc w:val="both"/>
              <w:rPr>
                <w:rFonts w:ascii="Times New Roman" w:hAnsi="Times New Roman"/>
                <w:color w:val="000000"/>
                <w:sz w:val="16"/>
                <w:szCs w:val="16"/>
                <w:shd w:fill="auto" w:val="clear"/>
              </w:rPr>
            </w:pPr>
            <w:r>
              <w:rPr>
                <w:color w:val="000000"/>
                <w:sz w:val="16"/>
                <w:szCs w:val="16"/>
                <w:shd w:fill="auto" w:val="clear"/>
              </w:rPr>
            </w:r>
          </w:p>
          <w:p>
            <w:pPr>
              <w:pStyle w:val="Normal"/>
              <w:widowControl w:val="false"/>
              <w:spacing w:lineRule="auto" w:line="240" w:before="0" w:after="0"/>
              <w:ind w:hanging="0" w:left="0"/>
              <w:jc w:val="both"/>
              <w:rPr>
                <w:color w:val="000000"/>
              </w:rPr>
            </w:pPr>
            <w:r>
              <w:rPr>
                <w:b/>
                <w:color w:val="000000"/>
                <w:sz w:val="16"/>
                <w:szCs w:val="16"/>
                <w:shd w:fill="auto" w:val="clear"/>
              </w:rPr>
              <w:t>mgr inż. arch. Wiktor Solak</w:t>
            </w:r>
          </w:p>
          <w:p>
            <w:pPr>
              <w:pStyle w:val="Normal"/>
              <w:widowControl w:val="false"/>
              <w:spacing w:lineRule="auto" w:line="240" w:before="0" w:after="0"/>
              <w:ind w:hanging="0" w:left="0"/>
              <w:jc w:val="both"/>
              <w:rPr>
                <w:color w:val="000000"/>
              </w:rPr>
            </w:pPr>
            <w:r>
              <w:rPr>
                <w:b/>
                <w:color w:val="000000"/>
                <w:sz w:val="16"/>
                <w:szCs w:val="16"/>
                <w:shd w:fill="auto" w:val="clear"/>
              </w:rPr>
              <w:t>Nr.upr. MPOIA 076/2015</w:t>
            </w:r>
          </w:p>
          <w:p>
            <w:pPr>
              <w:pStyle w:val="Normal"/>
              <w:widowControl w:val="false"/>
              <w:spacing w:lineRule="auto" w:line="240" w:before="0" w:after="0"/>
              <w:ind w:hanging="0" w:left="0"/>
              <w:jc w:val="both"/>
              <w:rPr>
                <w:color w:val="000000"/>
              </w:rPr>
            </w:pPr>
            <w:r>
              <w:rPr>
                <w:b/>
                <w:color w:val="000000"/>
                <w:sz w:val="16"/>
                <w:szCs w:val="16"/>
                <w:shd w:fill="auto" w:val="clear"/>
              </w:rPr>
              <w:t>W spec. architektonicznej do projektowania i kierowania robotami budowlanymi bez ograniczeń</w:t>
            </w:r>
          </w:p>
        </w:tc>
        <w:tc>
          <w:tcPr>
            <w:tcW w:w="2124" w:type="dxa"/>
            <w:tcBorders>
              <w:top w:val="single" w:sz="4" w:space="0" w:color="00000A"/>
              <w:left w:val="single" w:sz="4" w:space="0" w:color="00000A"/>
              <w:bottom w:val="single" w:sz="4" w:space="0" w:color="00000A"/>
              <w:right w:val="single" w:sz="4" w:space="0" w:color="00000A"/>
            </w:tcBorders>
          </w:tcPr>
          <w:p>
            <w:pPr>
              <w:pStyle w:val="Normal"/>
              <w:widowControl w:val="false"/>
              <w:spacing w:lineRule="auto" w:line="240" w:before="0" w:after="0"/>
              <w:ind w:hanging="0" w:left="0"/>
              <w:jc w:val="both"/>
              <w:rPr>
                <w:rFonts w:ascii="Times New Roman" w:hAnsi="Times New Roman"/>
                <w:color w:val="000000"/>
                <w:sz w:val="16"/>
                <w:szCs w:val="16"/>
                <w:shd w:fill="auto" w:val="clear"/>
              </w:rPr>
            </w:pPr>
            <w:r>
              <w:rPr>
                <w:color w:val="000000"/>
                <w:sz w:val="16"/>
                <w:szCs w:val="16"/>
                <w:shd w:fill="auto" w:val="clear"/>
              </w:rPr>
            </w:r>
          </w:p>
        </w:tc>
      </w:tr>
      <w:tr>
        <w:trPr>
          <w:trHeight w:val="1073" w:hRule="atLeast"/>
        </w:trPr>
        <w:tc>
          <w:tcPr>
            <w:tcW w:w="2384" w:type="dxa"/>
            <w:tcBorders>
              <w:left w:val="single" w:sz="4" w:space="0" w:color="00000A"/>
              <w:right w:val="single" w:sz="4" w:space="0" w:color="00000A"/>
            </w:tcBorders>
          </w:tcPr>
          <w:p>
            <w:pPr>
              <w:pStyle w:val="Normal"/>
              <w:widowControl w:val="false"/>
              <w:bidi w:val="0"/>
              <w:spacing w:lineRule="auto" w:line="240" w:before="0" w:after="0"/>
              <w:ind w:hanging="0" w:left="0"/>
              <w:jc w:val="left"/>
              <w:rPr>
                <w:rFonts w:ascii="Times New Roman" w:hAnsi="Times New Roman" w:cs="Times New Roman"/>
                <w:b/>
                <w:sz w:val="16"/>
                <w:szCs w:val="16"/>
                <w:highlight w:val="none"/>
                <w:shd w:fill="auto" w:val="clear"/>
              </w:rPr>
            </w:pPr>
            <w:r>
              <w:rPr>
                <w:rFonts w:cs="Times New Roman"/>
                <w:b/>
                <w:sz w:val="16"/>
                <w:szCs w:val="16"/>
                <w:shd w:fill="auto" w:val="clear"/>
              </w:rPr>
              <w:t>mgr inż. architekt</w:t>
            </w:r>
          </w:p>
          <w:p>
            <w:pPr>
              <w:pStyle w:val="Normal"/>
              <w:widowControl w:val="false"/>
              <w:bidi w:val="0"/>
              <w:spacing w:lineRule="auto" w:line="240" w:before="0" w:after="0"/>
              <w:ind w:hanging="0" w:left="0"/>
              <w:jc w:val="left"/>
              <w:rPr>
                <w:rFonts w:ascii="Times New Roman" w:hAnsi="Times New Roman" w:cs="Times New Roman"/>
                <w:b/>
                <w:sz w:val="16"/>
                <w:szCs w:val="16"/>
                <w:highlight w:val="none"/>
                <w:shd w:fill="auto" w:val="clear"/>
              </w:rPr>
            </w:pPr>
            <w:r>
              <w:rPr>
                <w:rFonts w:cs="Times New Roman"/>
                <w:b/>
                <w:color w:val="000000"/>
                <w:sz w:val="16"/>
                <w:szCs w:val="16"/>
                <w:shd w:fill="auto" w:val="clear"/>
              </w:rPr>
              <w:t>Jędrzej Jarosz</w:t>
            </w:r>
          </w:p>
        </w:tc>
        <w:tc>
          <w:tcPr>
            <w:tcW w:w="1660" w:type="dxa"/>
            <w:tcBorders>
              <w:left w:val="single" w:sz="4" w:space="0" w:color="00000A"/>
              <w:bottom w:val="single" w:sz="4" w:space="0" w:color="00000A"/>
              <w:right w:val="single" w:sz="4" w:space="0" w:color="00000A"/>
            </w:tcBorders>
          </w:tcPr>
          <w:p>
            <w:pPr>
              <w:pStyle w:val="Normal"/>
              <w:widowControl w:val="false"/>
              <w:spacing w:lineRule="auto" w:line="240" w:before="0" w:after="0"/>
              <w:ind w:hanging="0" w:left="0"/>
              <w:jc w:val="both"/>
              <w:rPr>
                <w:color w:val="000000"/>
              </w:rPr>
            </w:pPr>
            <w:r>
              <w:rPr>
                <w:b/>
                <w:color w:val="000000"/>
                <w:sz w:val="16"/>
                <w:szCs w:val="16"/>
                <w:shd w:fill="auto" w:val="clear"/>
              </w:rPr>
              <w:t>Architektura, sprawdzający</w:t>
            </w:r>
          </w:p>
        </w:tc>
        <w:tc>
          <w:tcPr>
            <w:tcW w:w="2928" w:type="dxa"/>
            <w:tcBorders>
              <w:left w:val="single" w:sz="4" w:space="0" w:color="00000A"/>
              <w:bottom w:val="single" w:sz="4" w:space="0" w:color="00000A"/>
              <w:right w:val="single" w:sz="4" w:space="0" w:color="00000A"/>
            </w:tcBorders>
          </w:tcPr>
          <w:p>
            <w:pPr>
              <w:pStyle w:val="Normal"/>
              <w:widowControl w:val="false"/>
              <w:bidi w:val="0"/>
              <w:spacing w:lineRule="auto" w:line="240" w:before="0" w:after="0"/>
              <w:ind w:hanging="0" w:left="0"/>
              <w:jc w:val="left"/>
              <w:rPr>
                <w:rFonts w:ascii="Times New Roman" w:hAnsi="Times New Roman" w:cs="Times New Roman"/>
                <w:b/>
                <w:bCs/>
                <w:i w:val="false"/>
                <w:caps w:val="false"/>
                <w:smallCaps w:val="false"/>
                <w:color w:val="222222"/>
                <w:spacing w:val="0"/>
                <w:sz w:val="16"/>
                <w:szCs w:val="16"/>
                <w:highlight w:val="none"/>
                <w:shd w:fill="auto" w:val="clear"/>
              </w:rPr>
            </w:pPr>
            <w:r>
              <w:rPr>
                <w:rFonts w:cs="Times New Roman"/>
                <w:b/>
                <w:bCs/>
                <w:i w:val="false"/>
                <w:caps w:val="false"/>
                <w:smallCaps w:val="false"/>
                <w:color w:val="222222"/>
                <w:spacing w:val="0"/>
                <w:sz w:val="16"/>
                <w:szCs w:val="16"/>
                <w:shd w:fill="auto" w:val="clear"/>
              </w:rPr>
              <w:t>mgr inż. architekt Jędrzej Jarosz</w:t>
            </w:r>
          </w:p>
          <w:p>
            <w:pPr>
              <w:pStyle w:val="Normal"/>
              <w:widowControl w:val="false"/>
              <w:spacing w:before="0" w:after="0"/>
              <w:ind w:hanging="0" w:left="0" w:right="0"/>
              <w:rPr>
                <w:rFonts w:ascii="Times New Roman" w:hAnsi="Times New Roman"/>
                <w:b/>
                <w:bCs/>
                <w:i w:val="false"/>
                <w:caps w:val="false"/>
                <w:smallCaps w:val="false"/>
                <w:color w:val="222222"/>
                <w:spacing w:val="0"/>
                <w:sz w:val="16"/>
                <w:szCs w:val="16"/>
                <w:highlight w:val="none"/>
                <w:shd w:fill="auto" w:val="clear"/>
              </w:rPr>
            </w:pPr>
            <w:r>
              <w:rPr>
                <w:b/>
                <w:bCs/>
                <w:i w:val="false"/>
                <w:caps w:val="false"/>
                <w:smallCaps w:val="false"/>
                <w:color w:val="222222"/>
                <w:spacing w:val="0"/>
                <w:sz w:val="16"/>
                <w:szCs w:val="16"/>
                <w:shd w:fill="auto" w:val="clear"/>
              </w:rPr>
              <w:t>upr. budowlane w spec. architektonicznej</w:t>
            </w:r>
          </w:p>
          <w:p>
            <w:pPr>
              <w:pStyle w:val="Normal"/>
              <w:widowControl w:val="false"/>
              <w:spacing w:before="0" w:after="0"/>
              <w:ind w:hanging="0" w:left="0" w:right="0"/>
              <w:rPr>
                <w:rFonts w:ascii="Times New Roman" w:hAnsi="Times New Roman"/>
                <w:b/>
                <w:bCs/>
                <w:i w:val="false"/>
                <w:caps w:val="false"/>
                <w:smallCaps w:val="false"/>
                <w:color w:val="222222"/>
                <w:spacing w:val="0"/>
                <w:sz w:val="16"/>
                <w:szCs w:val="16"/>
                <w:highlight w:val="none"/>
                <w:shd w:fill="auto" w:val="clear"/>
              </w:rPr>
            </w:pPr>
            <w:r>
              <w:rPr>
                <w:b/>
                <w:bCs/>
                <w:i w:val="false"/>
                <w:caps w:val="false"/>
                <w:smallCaps w:val="false"/>
                <w:color w:val="222222"/>
                <w:spacing w:val="0"/>
                <w:sz w:val="16"/>
                <w:szCs w:val="16"/>
                <w:shd w:fill="auto" w:val="clear"/>
              </w:rPr>
              <w:t>do projektowania bez ograniczeń</w:t>
            </w:r>
          </w:p>
          <w:p>
            <w:pPr>
              <w:pStyle w:val="Normal"/>
              <w:widowControl w:val="false"/>
              <w:spacing w:lineRule="auto" w:line="240" w:before="0" w:after="0"/>
              <w:ind w:hanging="0" w:left="0" w:right="0"/>
              <w:jc w:val="both"/>
              <w:rPr>
                <w:rFonts w:ascii="Times New Roman" w:hAnsi="Times New Roman" w:cs="Times New Roman"/>
                <w:b/>
                <w:bCs/>
                <w:i w:val="false"/>
                <w:caps w:val="false"/>
                <w:smallCaps w:val="false"/>
                <w:color w:val="222222"/>
                <w:spacing w:val="0"/>
                <w:sz w:val="16"/>
                <w:szCs w:val="16"/>
                <w:highlight w:val="none"/>
                <w:shd w:fill="auto" w:val="clear"/>
              </w:rPr>
            </w:pPr>
            <w:r>
              <w:rPr>
                <w:rFonts w:cs="Times New Roman"/>
                <w:b/>
                <w:bCs/>
                <w:i w:val="false"/>
                <w:caps w:val="false"/>
                <w:smallCaps w:val="false"/>
                <w:color w:val="222222"/>
                <w:spacing w:val="0"/>
                <w:sz w:val="16"/>
                <w:szCs w:val="16"/>
                <w:shd w:fill="auto" w:val="clear"/>
              </w:rPr>
              <w:t>nr ewid. 12/PKOKK/2024</w:t>
            </w:r>
          </w:p>
        </w:tc>
        <w:tc>
          <w:tcPr>
            <w:tcW w:w="2124" w:type="dxa"/>
            <w:tcBorders>
              <w:left w:val="single" w:sz="4" w:space="0" w:color="00000A"/>
              <w:bottom w:val="single" w:sz="4" w:space="0" w:color="00000A"/>
              <w:right w:val="single" w:sz="4" w:space="0" w:color="00000A"/>
            </w:tcBorders>
          </w:tcPr>
          <w:p>
            <w:pPr>
              <w:pStyle w:val="Normal"/>
              <w:widowControl w:val="false"/>
              <w:spacing w:lineRule="auto" w:line="240" w:before="0" w:after="0"/>
              <w:ind w:hanging="0" w:left="0"/>
              <w:jc w:val="both"/>
              <w:rPr>
                <w:rFonts w:ascii="Times New Roman" w:hAnsi="Times New Roman"/>
                <w:color w:val="000000"/>
                <w:sz w:val="16"/>
                <w:szCs w:val="16"/>
                <w:shd w:fill="auto" w:val="clear"/>
              </w:rPr>
            </w:pPr>
            <w:r>
              <w:rPr>
                <w:color w:val="000000"/>
                <w:sz w:val="16"/>
                <w:szCs w:val="16"/>
                <w:shd w:fill="auto" w:val="clear"/>
              </w:rPr>
            </w:r>
          </w:p>
        </w:tc>
      </w:tr>
    </w:tbl>
    <w:p>
      <w:pPr>
        <w:pStyle w:val="Normal"/>
        <w:spacing w:lineRule="auto" w:line="240" w:before="0" w:after="0"/>
        <w:ind w:hanging="0" w:left="0"/>
        <w:jc w:val="both"/>
        <w:rPr>
          <w:color w:val="000000"/>
        </w:rPr>
      </w:pPr>
      <w:r>
        <w:rPr>
          <w:b/>
          <w:color w:val="000000"/>
          <w:sz w:val="20"/>
          <w:szCs w:val="20"/>
          <w:shd w:fill="auto" w:val="clear"/>
        </w:rPr>
        <w:t>DATA OPRACOWANIA:</w:t>
      </w:r>
    </w:p>
    <w:p>
      <w:pPr>
        <w:pStyle w:val="Normal"/>
        <w:spacing w:lineRule="auto" w:line="240" w:before="0" w:after="0"/>
        <w:ind w:hanging="0" w:left="0"/>
        <w:jc w:val="both"/>
        <w:rPr>
          <w:color w:val="000000"/>
        </w:rPr>
      </w:pPr>
      <w:r>
        <w:rPr>
          <w:b/>
          <w:color w:val="000000"/>
          <w:sz w:val="20"/>
          <w:szCs w:val="20"/>
          <w:shd w:fill="auto" w:val="clear"/>
        </w:rPr>
        <w:t>SIERPIEŃ 2025</w:t>
      </w:r>
    </w:p>
    <w:p>
      <w:pPr>
        <w:pStyle w:val="Normal"/>
        <w:widowControl w:val="false"/>
        <w:spacing w:lineRule="auto" w:line="360" w:before="0" w:after="0"/>
        <w:ind w:hanging="0" w:left="0"/>
        <w:jc w:val="center"/>
        <w:rPr>
          <w:rFonts w:ascii="Times New Roman" w:hAnsi="Times New Roman"/>
          <w:b/>
          <w:bCs/>
          <w:color w:val="000000"/>
          <w:sz w:val="24"/>
          <w:szCs w:val="24"/>
          <w:shd w:fill="auto" w:val="clear"/>
        </w:rPr>
      </w:pPr>
      <w:r>
        <w:rPr>
          <w:b/>
          <w:bCs/>
          <w:color w:val="000000"/>
          <w:sz w:val="24"/>
          <w:szCs w:val="24"/>
          <w:shd w:fill="auto" w:val="clear"/>
        </w:rPr>
      </w:r>
    </w:p>
    <w:sdt>
      <w:sdtPr>
        <w:docPartObj>
          <w:docPartGallery w:val="Table of Contents"/>
          <w:docPartUnique w:val="true"/>
        </w:docPartObj>
      </w:sdtPr>
      <w:sdtContent>
        <w:p>
          <w:pPr>
            <w:pStyle w:val="TOCHeading"/>
            <w:numPr>
              <w:ilvl w:val="0"/>
              <w:numId w:val="0"/>
            </w:numPr>
            <w:suppressLineNumbers/>
            <w:ind w:hanging="0" w:left="0"/>
            <w:rPr>
              <w:b/>
              <w:bCs/>
              <w:sz w:val="32"/>
              <w:szCs w:val="32"/>
              <w:lang w:eastAsia="pl-PL"/>
            </w:rPr>
          </w:pPr>
          <w:r>
            <w:rPr>
              <w:b/>
              <w:bCs/>
              <w:sz w:val="32"/>
              <w:szCs w:val="32"/>
              <w:lang w:eastAsia="pl-PL"/>
            </w:rPr>
            <w:t>Spis treści</w:t>
          </w:r>
        </w:p>
        <w:p>
          <w:pPr>
            <w:pStyle w:val="TOC1"/>
            <w:tabs>
              <w:tab w:val="clear" w:pos="9638"/>
              <w:tab w:val="right" w:pos="9062" w:leader="dot"/>
            </w:tabs>
            <w:ind w:hanging="0" w:left="0" w:right="0"/>
            <w:rPr/>
          </w:pPr>
          <w:r>
            <w:fldChar w:fldCharType="begin"/>
          </w:r>
          <w:r>
            <w:rPr>
              <w:rStyle w:val="czeindeksu"/>
            </w:rPr>
            <w:instrText xml:space="preserve"> TOC \f \o "1-9" \h</w:instrText>
          </w:r>
          <w:r>
            <w:rPr>
              <w:rStyle w:val="czeindeksu"/>
            </w:rPr>
            <w:fldChar w:fldCharType="separate"/>
          </w:r>
          <w:hyperlink w:anchor="__RefHeading___Toc8822_1000694973">
            <w:r>
              <w:rPr>
                <w:rStyle w:val="czeindeksu"/>
              </w:rPr>
              <w:t>1. DANE OGÓLNE</w:t>
            </w:r>
            <w:r>
              <w:rPr>
                <w:rStyle w:val="czeindeksu"/>
              </w:rPr>
              <w:tab/>
            </w:r>
          </w:hyperlink>
          <w:r>
            <w:rPr/>
            <w:t>3</w:t>
          </w:r>
        </w:p>
        <w:p>
          <w:pPr>
            <w:pStyle w:val="TOC1"/>
            <w:tabs>
              <w:tab w:val="clear" w:pos="9638"/>
              <w:tab w:val="right" w:pos="9062" w:leader="dot"/>
            </w:tabs>
            <w:ind w:hanging="0" w:left="0" w:right="0"/>
            <w:rPr/>
          </w:pPr>
          <w:hyperlink w:anchor="__RefHeading___Toc8824_1000694973">
            <w:r>
              <w:rPr>
                <w:rStyle w:val="czeindeksu"/>
              </w:rPr>
              <w:t>2. DANE O BUDYNKU</w:t>
              <w:tab/>
            </w:r>
          </w:hyperlink>
          <w:r>
            <w:rPr/>
            <w:t>6</w:t>
          </w:r>
        </w:p>
        <w:p>
          <w:pPr>
            <w:pStyle w:val="TOC1"/>
            <w:tabs>
              <w:tab w:val="clear" w:pos="9638"/>
              <w:tab w:val="right" w:pos="9062" w:leader="dot"/>
            </w:tabs>
            <w:ind w:hanging="0" w:left="0" w:right="0"/>
            <w:rPr/>
          </w:pPr>
          <w:hyperlink w:anchor="__RefHeading___Toc8832_1000694973">
            <w:r>
              <w:rPr>
                <w:rStyle w:val="czeindeksu"/>
              </w:rPr>
              <w:t>3. ARCHITEKTURA</w:t>
              <w:tab/>
            </w:r>
          </w:hyperlink>
          <w:r>
            <w:rPr/>
            <w:t>9</w:t>
          </w:r>
        </w:p>
        <w:p>
          <w:pPr>
            <w:pStyle w:val="TOC1"/>
            <w:tabs>
              <w:tab w:val="clear" w:pos="9638"/>
              <w:tab w:val="right" w:pos="9062" w:leader="dot"/>
            </w:tabs>
            <w:ind w:hanging="0" w:left="0" w:right="0"/>
            <w:rPr/>
          </w:pPr>
          <w:hyperlink w:anchor="__RefHeading___Toc8834_1000694973">
            <w:r>
              <w:rPr>
                <w:rStyle w:val="czeindeksu"/>
              </w:rPr>
              <w:t>4. KONSTRUKCJA</w:t>
              <w:tab/>
            </w:r>
          </w:hyperlink>
          <w:r>
            <w:rPr/>
            <w:t>9</w:t>
          </w:r>
        </w:p>
        <w:p>
          <w:pPr>
            <w:pStyle w:val="TOC1"/>
            <w:tabs>
              <w:tab w:val="clear" w:pos="9638"/>
              <w:tab w:val="right" w:pos="9062" w:leader="dot"/>
            </w:tabs>
            <w:ind w:hanging="0" w:left="0" w:right="0"/>
            <w:rPr/>
          </w:pPr>
          <w:hyperlink w:anchor="__RefHeading___Toc8836_1000694973">
            <w:r>
              <w:rPr>
                <w:rStyle w:val="czeindeksu"/>
              </w:rPr>
              <w:t>5. WYKOŃCZENIE WEWNĄTRZ BUDYNKU</w:t>
              <w:tab/>
              <w:t>1</w:t>
            </w:r>
          </w:hyperlink>
          <w:r>
            <w:rPr/>
            <w:t>0</w:t>
          </w:r>
        </w:p>
        <w:p>
          <w:pPr>
            <w:pStyle w:val="TOC1"/>
            <w:tabs>
              <w:tab w:val="clear" w:pos="9638"/>
              <w:tab w:val="right" w:pos="9062" w:leader="dot"/>
            </w:tabs>
            <w:ind w:hanging="0" w:left="0" w:right="0"/>
            <w:rPr/>
          </w:pPr>
          <w:hyperlink w:anchor="__RefHeading___Toc8838_1000694973">
            <w:r>
              <w:rPr>
                <w:rStyle w:val="czeindeksu"/>
              </w:rPr>
              <w:t>6. INSTALACJE</w:t>
              <w:tab/>
              <w:t>1</w:t>
            </w:r>
          </w:hyperlink>
          <w:r>
            <w:rPr/>
            <w:t>0</w:t>
          </w:r>
        </w:p>
        <w:p>
          <w:pPr>
            <w:pStyle w:val="TOC1"/>
            <w:tabs>
              <w:tab w:val="clear" w:pos="9638"/>
              <w:tab w:val="right" w:pos="9062" w:leader="dot"/>
            </w:tabs>
            <w:ind w:hanging="0" w:left="0" w:right="0"/>
            <w:rPr/>
          </w:pPr>
          <w:hyperlink w:anchor="__RefHeading___Toc8840_1000694973">
            <w:r>
              <w:rPr>
                <w:rStyle w:val="czeindeksu"/>
              </w:rPr>
              <w:t>7. BEZPIECZEŃSTWO POŻAROWE</w:t>
              <w:tab/>
              <w:t>1</w:t>
            </w:r>
          </w:hyperlink>
          <w:r>
            <w:rPr/>
            <w:t>0</w:t>
          </w:r>
        </w:p>
        <w:p>
          <w:pPr>
            <w:pStyle w:val="TOC1"/>
            <w:tabs>
              <w:tab w:val="clear" w:pos="9638"/>
              <w:tab w:val="right" w:pos="9062" w:leader="dot"/>
            </w:tabs>
            <w:ind w:hanging="0" w:left="0" w:right="0"/>
            <w:rPr/>
          </w:pPr>
          <w:hyperlink w:anchor="__RefHeading___Toc8844_1000694973">
            <w:r>
              <w:rPr>
                <w:rStyle w:val="czeindeksu"/>
              </w:rPr>
              <w:t>8. UWAGI OGÓLNE</w:t>
              <w:tab/>
              <w:t>3</w:t>
            </w:r>
          </w:hyperlink>
          <w:r>
            <w:rPr/>
            <w:t>3</w:t>
          </w:r>
          <w:r>
            <w:rPr/>
            <w:fldChar w:fldCharType="end"/>
          </w:r>
        </w:p>
      </w:sdtContent>
    </w:sdt>
    <w:p>
      <w:pPr>
        <w:pStyle w:val="Normal"/>
        <w:widowControl w:val="false"/>
        <w:spacing w:lineRule="auto" w:line="360" w:before="0" w:after="0"/>
        <w:ind w:hanging="0" w:left="0"/>
        <w:jc w:val="center"/>
        <w:rPr>
          <w:color w:val="000000"/>
        </w:rPr>
      </w:pPr>
      <w:r>
        <w:rPr>
          <w:color w:val="000000"/>
        </w:rPr>
      </w:r>
      <w:r>
        <w:br w:type="page"/>
      </w:r>
    </w:p>
    <w:p>
      <w:pPr>
        <w:pStyle w:val="Normal"/>
        <w:widowControl w:val="false"/>
        <w:spacing w:lineRule="auto" w:line="360" w:before="0" w:after="0"/>
        <w:ind w:hanging="0" w:left="0"/>
        <w:jc w:val="center"/>
        <w:rPr>
          <w:color w:val="000000"/>
        </w:rPr>
      </w:pPr>
      <w:r>
        <w:rPr>
          <w:b/>
          <w:bCs/>
          <w:color w:val="000000"/>
          <w:u w:val="single"/>
          <w:shd w:fill="auto" w:val="clear"/>
        </w:rPr>
        <w:t>CZ</w:t>
      </w:r>
      <w:r>
        <w:rPr>
          <w:b/>
          <w:color w:val="000000"/>
          <w:u w:val="single"/>
          <w:shd w:fill="auto" w:val="clear"/>
        </w:rPr>
        <w:t>ĘŚĆ</w:t>
      </w:r>
      <w:r>
        <w:rPr>
          <w:b/>
          <w:bCs/>
          <w:color w:val="000000"/>
          <w:u w:val="single"/>
          <w:shd w:fill="auto" w:val="clear"/>
        </w:rPr>
        <w:t xml:space="preserve"> OPISOWA</w:t>
      </w:r>
    </w:p>
    <w:p>
      <w:pPr>
        <w:pStyle w:val="Normal"/>
        <w:widowControl w:val="false"/>
        <w:spacing w:lineRule="auto" w:line="360" w:before="0" w:after="0"/>
        <w:ind w:hanging="0" w:left="0"/>
        <w:rPr>
          <w:rFonts w:ascii="Times New Roman" w:hAnsi="Times New Roman"/>
          <w:bCs/>
          <w:color w:val="000000"/>
          <w:shd w:fill="auto" w:val="clear"/>
        </w:rPr>
      </w:pPr>
      <w:r>
        <w:rPr>
          <w:bCs/>
          <w:color w:val="000000"/>
          <w:shd w:fill="auto" w:val="clear"/>
        </w:rPr>
      </w:r>
    </w:p>
    <w:p>
      <w:pPr>
        <w:pStyle w:val="Heading1"/>
        <w:numPr>
          <w:ilvl w:val="0"/>
          <w:numId w:val="0"/>
        </w:numPr>
        <w:ind w:hanging="0" w:left="720"/>
        <w:rPr>
          <w:color w:val="000000"/>
        </w:rPr>
      </w:pPr>
      <w:bookmarkStart w:id="0" w:name="__RefHeading___Toc8822_1000694973"/>
      <w:bookmarkEnd w:id="0"/>
      <w:r>
        <w:rPr/>
        <w:t xml:space="preserve">1. DANE OGÓLNE </w:t>
      </w:r>
    </w:p>
    <w:p>
      <w:pPr>
        <w:pStyle w:val="Normal"/>
        <w:spacing w:lineRule="auto" w:line="360" w:before="100" w:after="0"/>
        <w:ind w:hanging="0" w:left="0"/>
        <w:jc w:val="both"/>
        <w:rPr>
          <w:color w:val="000000"/>
        </w:rPr>
      </w:pPr>
      <w:r>
        <w:rPr>
          <w:rFonts w:eastAsia="Times New Roman"/>
          <w:b/>
          <w:bCs/>
          <w:color w:val="000000"/>
          <w:sz w:val="22"/>
          <w:szCs w:val="22"/>
          <w:shd w:fill="auto" w:val="clear"/>
          <w:lang w:eastAsia="pl-PL"/>
        </w:rPr>
        <w:t xml:space="preserve">1.1. PODSTAWA OPRACOWANIA. </w:t>
      </w:r>
    </w:p>
    <w:p>
      <w:pPr>
        <w:pStyle w:val="Normal"/>
        <w:widowControl w:val="false"/>
        <w:numPr>
          <w:ilvl w:val="0"/>
          <w:numId w:val="2"/>
        </w:numPr>
        <w:spacing w:lineRule="auto" w:line="360" w:before="0" w:after="0"/>
        <w:rPr>
          <w:color w:val="000000"/>
        </w:rPr>
      </w:pPr>
      <w:r>
        <w:rPr>
          <w:color w:val="000000"/>
          <w:shd w:fill="auto" w:val="clear"/>
        </w:rPr>
        <w:t>Inwentaryzacja architektoniczna</w:t>
      </w:r>
    </w:p>
    <w:p>
      <w:pPr>
        <w:pStyle w:val="Normal"/>
        <w:widowControl w:val="false"/>
        <w:numPr>
          <w:ilvl w:val="0"/>
          <w:numId w:val="2"/>
        </w:numPr>
        <w:spacing w:lineRule="auto" w:line="360" w:before="0" w:after="0"/>
        <w:rPr>
          <w:color w:val="000000"/>
        </w:rPr>
      </w:pPr>
      <w:r>
        <w:rPr>
          <w:color w:val="000000"/>
          <w:shd w:fill="auto" w:val="clear"/>
        </w:rPr>
        <w:t>Umowa z inwestorem</w:t>
      </w:r>
    </w:p>
    <w:p>
      <w:pPr>
        <w:pStyle w:val="Normal"/>
        <w:widowControl w:val="false"/>
        <w:numPr>
          <w:ilvl w:val="0"/>
          <w:numId w:val="2"/>
        </w:numPr>
        <w:spacing w:lineRule="auto" w:line="360" w:before="0" w:after="0"/>
        <w:rPr>
          <w:color w:val="000000"/>
        </w:rPr>
      </w:pPr>
      <w:r>
        <w:rPr>
          <w:i w:val="false"/>
          <w:iCs w:val="false"/>
          <w:color w:val="000000"/>
          <w:shd w:fill="auto" w:val="clear"/>
        </w:rPr>
        <w:t>Uzgodnienia międzybranżowe</w:t>
      </w:r>
    </w:p>
    <w:p>
      <w:pPr>
        <w:pStyle w:val="Normal"/>
        <w:widowControl w:val="false"/>
        <w:numPr>
          <w:ilvl w:val="0"/>
          <w:numId w:val="2"/>
        </w:numPr>
        <w:spacing w:lineRule="auto" w:line="360" w:before="0" w:after="0"/>
        <w:rPr>
          <w:color w:val="000000"/>
        </w:rPr>
      </w:pPr>
      <w:r>
        <w:rPr>
          <w:rFonts w:eastAsia="Times New Roman"/>
          <w:i w:val="false"/>
          <w:iCs w:val="false"/>
          <w:color w:val="000000"/>
          <w:sz w:val="22"/>
          <w:szCs w:val="22"/>
          <w:shd w:fill="auto" w:val="clear"/>
          <w:lang w:eastAsia="pl-PL"/>
        </w:rPr>
        <w:t>Standardy dostępności dla polityki spójności 2021-2027</w:t>
      </w:r>
    </w:p>
    <w:p>
      <w:pPr>
        <w:pStyle w:val="Normal"/>
        <w:widowControl w:val="false"/>
        <w:numPr>
          <w:ilvl w:val="0"/>
          <w:numId w:val="0"/>
        </w:numPr>
        <w:spacing w:lineRule="auto" w:line="360" w:before="0" w:after="0"/>
        <w:ind w:hanging="0" w:left="720"/>
        <w:rPr>
          <w:rFonts w:ascii="Times New Roman" w:hAnsi="Times New Roman" w:eastAsia="Times New Roman"/>
          <w:i w:val="false"/>
          <w:iCs w:val="false"/>
          <w:color w:val="000000"/>
          <w:sz w:val="22"/>
          <w:szCs w:val="22"/>
          <w:shd w:fill="FFFF00" w:val="clear"/>
          <w:lang w:eastAsia="pl-PL"/>
        </w:rPr>
      </w:pPr>
      <w:r>
        <w:rPr>
          <w:rFonts w:eastAsia="Times New Roman"/>
          <w:i w:val="false"/>
          <w:iCs w:val="false"/>
          <w:color w:val="000000"/>
          <w:sz w:val="22"/>
          <w:szCs w:val="22"/>
          <w:shd w:fill="FFFF00" w:val="clear"/>
          <w:lang w:eastAsia="pl-PL"/>
        </w:rPr>
      </w:r>
    </w:p>
    <w:p>
      <w:pPr>
        <w:pStyle w:val="Normal"/>
        <w:spacing w:lineRule="auto" w:line="360" w:before="100" w:after="0"/>
        <w:ind w:hanging="0" w:left="0"/>
        <w:jc w:val="both"/>
        <w:rPr>
          <w:color w:val="000000"/>
        </w:rPr>
      </w:pPr>
      <w:r>
        <w:rPr>
          <w:rFonts w:eastAsia="Times New Roman"/>
          <w:b/>
          <w:bCs/>
          <w:color w:val="000000"/>
          <w:sz w:val="22"/>
          <w:szCs w:val="22"/>
          <w:shd w:fill="auto" w:val="clear"/>
          <w:lang w:eastAsia="pl-PL"/>
        </w:rPr>
        <w:t xml:space="preserve">1.2. PRZEDMIOT I ZAKRES OPRACOWANIA. </w:t>
      </w:r>
    </w:p>
    <w:p>
      <w:pPr>
        <w:pStyle w:val="Normal"/>
        <w:widowControl w:val="false"/>
        <w:spacing w:lineRule="auto" w:line="360" w:before="0" w:after="0"/>
        <w:ind w:hanging="0" w:left="0" w:right="0"/>
        <w:jc w:val="both"/>
        <w:rPr>
          <w:color w:val="000000"/>
        </w:rPr>
      </w:pPr>
      <w:r>
        <w:rPr>
          <w:bCs/>
          <w:color w:val="000000"/>
          <w:shd w:fill="auto" w:val="clear"/>
        </w:rPr>
        <w:t xml:space="preserve">Opracowanie obejmuje </w:t>
      </w:r>
      <w:r>
        <w:rPr>
          <w:b/>
          <w:color w:val="000000"/>
          <w:sz w:val="22"/>
          <w:szCs w:val="22"/>
        </w:rPr>
        <w:t xml:space="preserve">PROJEKT PRZEBUDOWY BUDYNKU </w:t>
      </w:r>
      <w:r>
        <w:rPr>
          <w:b/>
          <w:color w:val="000000"/>
          <w:sz w:val="22"/>
          <w:szCs w:val="22"/>
        </w:rPr>
        <w:t>ZESPOŁU SZKOLNO-PRZEDSZKOLNEGO</w:t>
      </w:r>
      <w:r>
        <w:rPr>
          <w:b/>
          <w:color w:val="000000"/>
          <w:sz w:val="22"/>
          <w:szCs w:val="22"/>
        </w:rPr>
        <w:t xml:space="preserve"> W ZALASOWEJ </w:t>
      </w:r>
      <w:r>
        <w:rPr>
          <w:b w:val="false"/>
          <w:bCs/>
          <w:color w:val="000000"/>
          <w:sz w:val="22"/>
          <w:szCs w:val="22"/>
          <w:shd w:fill="auto" w:val="clear"/>
        </w:rPr>
        <w:t>(DOSTOSOWANIE DO POTRZEB OSÓB NIEPEŁNOSPRAWNYCH TOALETY ZNAJDUJĄCEJ SIĘ NA PARTERZE WRAZ Z INSTALACJAMI WEWNĘTRZNYMI, WYKONANIE ZEWNĘTRZNEGO PODJAZDU DLA OSÓB NIEPEŁNOSPRAWNYCH WRAZ Z PRZEBUDOWĄ SCHODÓW WEJŚCIOWYCH, DOSTOSOWANIE BUDYNKU DO AKTUALNYCH PRZEPISÓW OCHRONY POŻAROWEJ WRAZ Z INSTALACJAMI WEWNĘTRZNYMI)</w:t>
      </w:r>
    </w:p>
    <w:p>
      <w:pPr>
        <w:pStyle w:val="NoSpacing"/>
        <w:spacing w:lineRule="auto" w:line="360"/>
        <w:ind w:hanging="0" w:left="0" w:right="0"/>
        <w:jc w:val="both"/>
        <w:rPr>
          <w:color w:val="000000"/>
        </w:rPr>
      </w:pPr>
      <w:r>
        <w:rPr>
          <w:rFonts w:ascii="Times New Roman" w:hAnsi="Times New Roman"/>
          <w:bCs/>
          <w:color w:val="000000"/>
          <w:sz w:val="22"/>
          <w:szCs w:val="22"/>
          <w:shd w:fill="auto" w:val="clear"/>
        </w:rPr>
        <w:t>Inwestycja ma na celu przebudowę oraz do</w:t>
      </w:r>
      <w:r>
        <w:rPr>
          <w:rFonts w:ascii="Times New Roman" w:hAnsi="Times New Roman"/>
          <w:bCs/>
          <w:color w:val="000000"/>
          <w:shd w:fill="auto" w:val="clear"/>
        </w:rPr>
        <w:t>stosowanie parteru budynku do standardów dostępności dla polityki spójności 2021-2027 oraz do aktualnych przepisów dotyczących bezpieczeństwa pożarowego.</w:t>
      </w:r>
    </w:p>
    <w:p>
      <w:pPr>
        <w:pStyle w:val="NoSpacing"/>
        <w:spacing w:lineRule="auto" w:line="360"/>
        <w:ind w:firstLine="360" w:left="0" w:right="0"/>
        <w:rPr>
          <w:rFonts w:ascii="Times New Roman" w:hAnsi="Times New Roman"/>
          <w:bCs/>
          <w:color w:val="000000"/>
          <w:sz w:val="22"/>
          <w:szCs w:val="22"/>
          <w:shd w:fill="FFFF00" w:val="clear"/>
        </w:rPr>
      </w:pPr>
      <w:r>
        <w:rPr>
          <w:rFonts w:ascii="Times New Roman" w:hAnsi="Times New Roman"/>
          <w:bCs/>
          <w:color w:val="000000"/>
          <w:sz w:val="22"/>
          <w:szCs w:val="22"/>
          <w:shd w:fill="FFFF00" w:val="clear"/>
        </w:rPr>
      </w:r>
    </w:p>
    <w:p>
      <w:pPr>
        <w:pStyle w:val="Normal"/>
        <w:spacing w:lineRule="auto" w:line="360" w:before="100" w:after="0"/>
        <w:ind w:hanging="0" w:left="0"/>
        <w:jc w:val="both"/>
        <w:rPr>
          <w:color w:val="000000"/>
        </w:rPr>
      </w:pPr>
      <w:r>
        <w:rPr>
          <w:rFonts w:eastAsia="Times New Roman"/>
          <w:b/>
          <w:bCs/>
          <w:color w:val="000000"/>
          <w:sz w:val="22"/>
          <w:szCs w:val="22"/>
          <w:shd w:fill="auto" w:val="clear"/>
          <w:lang w:eastAsia="pl-PL"/>
        </w:rPr>
        <w:t xml:space="preserve">1.3. PODSTAWOWE ZAŁOŻENIA INWESTYCYJNE I ICH ZAKRES: </w:t>
      </w:r>
    </w:p>
    <w:p>
      <w:pPr>
        <w:pStyle w:val="Normal"/>
        <w:spacing w:lineRule="auto" w:line="360" w:before="100" w:after="0"/>
        <w:ind w:hanging="0" w:left="0"/>
        <w:jc w:val="both"/>
        <w:rPr>
          <w:color w:val="000000"/>
        </w:rPr>
      </w:pPr>
      <w:r>
        <w:rPr>
          <w:rFonts w:eastAsia="Calibri" w:cs="Times New Roman"/>
          <w:color w:val="000000"/>
          <w:kern w:val="2"/>
          <w:sz w:val="22"/>
          <w:szCs w:val="22"/>
          <w:shd w:fill="auto" w:val="clear"/>
          <w:lang w:eastAsia="en-US" w:bidi="ar-SA"/>
        </w:rPr>
        <w:t xml:space="preserve">Zakres prac objętych opracowaniem projektowym wynikający z dostosowania parteru budynku dla potrzeb osób niepełnosprawnych: </w:t>
      </w:r>
    </w:p>
    <w:p>
      <w:pPr>
        <w:pStyle w:val="Normal"/>
        <w:spacing w:lineRule="auto" w:line="360" w:before="100" w:after="0"/>
        <w:ind w:hanging="0" w:left="0"/>
        <w:jc w:val="both"/>
        <w:rPr>
          <w:color w:val="000000"/>
        </w:rPr>
      </w:pPr>
      <w:r>
        <w:rPr>
          <w:rFonts w:eastAsia="Calibri" w:cs="Times New Roman"/>
          <w:b/>
          <w:bCs/>
          <w:color w:val="000000"/>
          <w:kern w:val="2"/>
          <w:sz w:val="22"/>
          <w:szCs w:val="22"/>
          <w:shd w:fill="auto" w:val="clear"/>
          <w:lang w:eastAsia="en-US" w:bidi="ar-SA"/>
        </w:rPr>
        <w:t>Korytarze:</w:t>
      </w:r>
    </w:p>
    <w:p>
      <w:pPr>
        <w:pStyle w:val="Normalny"/>
        <w:numPr>
          <w:ilvl w:val="0"/>
          <w:numId w:val="4"/>
        </w:numPr>
        <w:suppressAutoHyphens w:val="false"/>
        <w:spacing w:lineRule="auto" w:line="252" w:before="0" w:after="160"/>
        <w:jc w:val="both"/>
        <w:textAlignment w:val="auto"/>
        <w:rPr>
          <w:color w:val="000000"/>
        </w:rPr>
      </w:pPr>
      <w:r>
        <w:rPr>
          <w:rFonts w:eastAsia="Calibri" w:cs="Times New Roman" w:ascii="Times New Roman" w:hAnsi="Times New Roman"/>
          <w:color w:val="000000"/>
          <w:kern w:val="2"/>
          <w:sz w:val="22"/>
          <w:szCs w:val="22"/>
          <w:shd w:fill="auto" w:val="clear"/>
          <w:lang w:eastAsia="en-US" w:bidi="ar-SA"/>
        </w:rPr>
        <w:t>Montaż 3 ramp dla niepełnosprawnych wewnątrz budynku</w:t>
      </w:r>
    </w:p>
    <w:p>
      <w:pPr>
        <w:pStyle w:val="Normal"/>
        <w:spacing w:lineRule="auto" w:line="360" w:before="100" w:after="0"/>
        <w:ind w:hanging="0" w:left="0"/>
        <w:jc w:val="both"/>
        <w:rPr>
          <w:color w:val="000000"/>
        </w:rPr>
      </w:pPr>
      <w:r>
        <w:rPr>
          <w:rFonts w:eastAsia="Calibri" w:cs="Times New Roman"/>
          <w:b/>
          <w:bCs/>
          <w:color w:val="000000"/>
          <w:kern w:val="2"/>
          <w:sz w:val="22"/>
          <w:szCs w:val="22"/>
          <w:shd w:fill="auto" w:val="clear"/>
          <w:lang w:eastAsia="en-US" w:bidi="ar-SA"/>
        </w:rPr>
        <w:t>Wejście do budynku:</w:t>
      </w:r>
    </w:p>
    <w:p>
      <w:pPr>
        <w:pStyle w:val="Normalny"/>
        <w:numPr>
          <w:ilvl w:val="0"/>
          <w:numId w:val="4"/>
        </w:numPr>
        <w:suppressAutoHyphens w:val="false"/>
        <w:spacing w:lineRule="auto" w:line="252" w:before="0" w:after="160"/>
        <w:jc w:val="both"/>
        <w:textAlignment w:val="auto"/>
        <w:rPr>
          <w:color w:val="000000"/>
        </w:rPr>
      </w:pPr>
      <w:r>
        <w:rPr>
          <w:rFonts w:eastAsia="Calibri" w:cs="Times New Roman" w:ascii="Times New Roman" w:hAnsi="Times New Roman"/>
          <w:color w:val="000000"/>
          <w:kern w:val="2"/>
          <w:sz w:val="22"/>
          <w:szCs w:val="22"/>
          <w:shd w:fill="auto" w:val="clear"/>
          <w:lang w:eastAsia="en-US" w:bidi="ar-SA"/>
        </w:rPr>
        <w:t>Montaż 1 rampy dla niepełnosprawnych na zewnątrz, przy głównym wejściu do budynku</w:t>
      </w:r>
    </w:p>
    <w:p>
      <w:pPr>
        <w:pStyle w:val="Normalny"/>
        <w:numPr>
          <w:ilvl w:val="0"/>
          <w:numId w:val="4"/>
        </w:numPr>
        <w:suppressAutoHyphens w:val="false"/>
        <w:spacing w:lineRule="auto" w:line="252" w:before="0" w:after="160"/>
        <w:jc w:val="both"/>
        <w:textAlignment w:val="auto"/>
        <w:rPr>
          <w:color w:val="000000"/>
        </w:rPr>
      </w:pPr>
      <w:r>
        <w:rPr>
          <w:rFonts w:eastAsia="Calibri" w:cs="Times New Roman" w:ascii="Times New Roman" w:hAnsi="Times New Roman"/>
          <w:color w:val="000000"/>
          <w:kern w:val="2"/>
          <w:sz w:val="22"/>
          <w:szCs w:val="22"/>
          <w:shd w:fill="auto" w:val="clear"/>
          <w:lang w:eastAsia="en-US" w:bidi="ar-SA"/>
        </w:rPr>
        <w:t>Rozbiórka istniejących schodów przy wejściu do budynku</w:t>
      </w:r>
    </w:p>
    <w:p>
      <w:pPr>
        <w:pStyle w:val="Normalny"/>
        <w:numPr>
          <w:ilvl w:val="0"/>
          <w:numId w:val="4"/>
        </w:numPr>
        <w:suppressAutoHyphens w:val="false"/>
        <w:spacing w:lineRule="auto" w:line="252" w:before="0" w:after="160"/>
        <w:jc w:val="both"/>
        <w:textAlignment w:val="auto"/>
        <w:rPr>
          <w:color w:val="000000"/>
        </w:rPr>
      </w:pPr>
      <w:r>
        <w:rPr>
          <w:rFonts w:eastAsia="Calibri" w:cs="Times New Roman" w:ascii="Times New Roman" w:hAnsi="Times New Roman"/>
          <w:color w:val="000000"/>
          <w:kern w:val="2"/>
          <w:sz w:val="22"/>
          <w:szCs w:val="22"/>
          <w:shd w:fill="auto" w:val="clear"/>
          <w:lang w:eastAsia="en-US" w:bidi="ar-SA"/>
        </w:rPr>
        <w:t>Budowa nowych schodów przy wejściu do budynku</w:t>
      </w:r>
    </w:p>
    <w:p>
      <w:pPr>
        <w:pStyle w:val="Normal"/>
        <w:spacing w:lineRule="auto" w:line="360" w:before="100" w:after="0"/>
        <w:ind w:hanging="0" w:left="0"/>
        <w:jc w:val="both"/>
        <w:rPr>
          <w:color w:val="000000"/>
        </w:rPr>
      </w:pPr>
      <w:r>
        <w:rPr>
          <w:rFonts w:eastAsia="Calibri" w:cs="Times New Roman"/>
          <w:b/>
          <w:bCs/>
          <w:color w:val="000000"/>
          <w:kern w:val="2"/>
          <w:sz w:val="22"/>
          <w:szCs w:val="22"/>
          <w:shd w:fill="auto" w:val="clear"/>
          <w:lang w:eastAsia="en-US" w:bidi="ar-SA"/>
        </w:rPr>
        <w:t>Toaleta damska:</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Zakup i montaż drzwi o świetle przejścia min. 90cm,</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Zakup i montaż drzwi do WC o świetle przejścia min. 80cm,</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umywalki,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sedesu,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dozownika mydła,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suszarki do rąk,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podajnika na papier toaletowy,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b w:val="false"/>
          <w:i w:val="false"/>
          <w:caps w:val="false"/>
          <w:smallCaps w:val="false"/>
          <w:color w:val="000000"/>
          <w:spacing w:val="0"/>
          <w:kern w:val="2"/>
          <w:sz w:val="22"/>
          <w:szCs w:val="22"/>
          <w:shd w:fill="auto" w:val="clear"/>
          <w:lang w:eastAsia="en-US" w:bidi="ar-SA"/>
        </w:rPr>
        <w:t>Zakup i montaż lampy wraz z systemem na czujnik ruchu,</w:t>
      </w:r>
      <w:r>
        <w:rPr>
          <w:rFonts w:eastAsia="Calibri" w:cs="Times New Roman" w:ascii="Times New Roman" w:hAnsi="Times New Roman"/>
          <w:color w:val="000000"/>
          <w:kern w:val="2"/>
          <w:sz w:val="22"/>
          <w:szCs w:val="22"/>
          <w:shd w:fill="auto" w:val="clear"/>
          <w:lang w:eastAsia="en-US" w:bidi="ar-SA"/>
        </w:rPr>
        <w:t xml:space="preserve">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Zakup i montaż wieszaków na ubrania/bagaż 2 szt.,</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b w:val="false"/>
          <w:i w:val="false"/>
          <w:caps w:val="false"/>
          <w:smallCaps w:val="false"/>
          <w:color w:val="000000"/>
          <w:spacing w:val="0"/>
          <w:kern w:val="2"/>
          <w:sz w:val="22"/>
          <w:szCs w:val="22"/>
          <w:shd w:fill="auto" w:val="clear"/>
          <w:lang w:eastAsia="en-US" w:bidi="ar-SA"/>
        </w:rPr>
        <w:t xml:space="preserve">Zakup i montaż drzwi pełnych z otworami wentylacyjnymi, okuciami, klamką z zamkiem </w:t>
      </w:r>
    </w:p>
    <w:p>
      <w:pPr>
        <w:pStyle w:val="Normalny"/>
        <w:numPr>
          <w:ilvl w:val="0"/>
          <w:numId w:val="0"/>
        </w:numPr>
        <w:suppressAutoHyphens w:val="false"/>
        <w:spacing w:lineRule="auto" w:line="252" w:before="0" w:after="160"/>
        <w:ind w:hanging="0" w:left="720"/>
        <w:textAlignment w:val="auto"/>
        <w:rPr>
          <w:color w:val="000000"/>
        </w:rPr>
      </w:pPr>
      <w:r>
        <w:rPr>
          <w:rFonts w:eastAsia="Calibri" w:cs="Times New Roman" w:ascii="Times New Roman" w:hAnsi="Times New Roman"/>
          <w:b w:val="false"/>
          <w:i w:val="false"/>
          <w:caps w:val="false"/>
          <w:smallCaps w:val="false"/>
          <w:color w:val="000000"/>
          <w:spacing w:val="0"/>
          <w:kern w:val="2"/>
          <w:sz w:val="22"/>
          <w:szCs w:val="22"/>
          <w:shd w:fill="auto" w:val="clear"/>
          <w:lang w:eastAsia="en-US" w:bidi="ar-SA"/>
        </w:rPr>
        <w:t>łazienkowym,</w:t>
      </w:r>
      <w:r>
        <w:rPr>
          <w:rFonts w:eastAsia="Calibri" w:cs="Times New Roman" w:ascii="Times New Roman" w:hAnsi="Times New Roman"/>
          <w:color w:val="000000"/>
          <w:kern w:val="2"/>
          <w:sz w:val="22"/>
          <w:szCs w:val="22"/>
          <w:shd w:fill="auto" w:val="clear"/>
          <w:lang w:eastAsia="en-US" w:bidi="ar-SA"/>
        </w:rPr>
        <w:t xml:space="preserve">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spłuczki podtynkowej,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płytek na ścianę,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płytek na posadzkę wykonanych z materiałów antypoślizgowych (wartość </w:t>
      </w:r>
    </w:p>
    <w:p>
      <w:pPr>
        <w:pStyle w:val="Normalny"/>
        <w:numPr>
          <w:ilvl w:val="0"/>
          <w:numId w:val="0"/>
        </w:numPr>
        <w:suppressAutoHyphens w:val="false"/>
        <w:spacing w:lineRule="auto" w:line="252" w:before="0" w:after="160"/>
        <w:ind w:hanging="0" w:left="72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poślizgu PTV lub SRV nawierzchni mokrej nie może być niższa niż 36 jednostek),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Zakup i montaż baterii uruchamianych dźwignią,</w:t>
      </w:r>
    </w:p>
    <w:p>
      <w:pPr>
        <w:pStyle w:val="Normalny"/>
        <w:numPr>
          <w:ilvl w:val="0"/>
          <w:numId w:val="4"/>
        </w:numPr>
        <w:suppressAutoHyphens w:val="false"/>
        <w:spacing w:lineRule="auto" w:line="252" w:before="0" w:after="160"/>
        <w:textAlignment w:val="auto"/>
        <w:rPr>
          <w:rFonts w:ascii="Times New Roman" w:hAnsi="Times New Roman"/>
        </w:rPr>
      </w:pPr>
      <w:r>
        <w:rPr>
          <w:rFonts w:ascii="Times New Roman" w:hAnsi="Times New Roman"/>
        </w:rPr>
        <w:t>Wykonanie izolacji przeciwwilgociowych,</w:t>
      </w:r>
    </w:p>
    <w:p>
      <w:pPr>
        <w:pStyle w:val="Normalny"/>
        <w:numPr>
          <w:ilvl w:val="0"/>
          <w:numId w:val="4"/>
        </w:numPr>
        <w:suppressAutoHyphens w:val="false"/>
        <w:spacing w:lineRule="auto" w:line="252" w:before="0" w:after="160"/>
        <w:textAlignment w:val="auto"/>
        <w:rPr>
          <w:rFonts w:ascii="Times New Roman" w:hAnsi="Times New Roman"/>
        </w:rPr>
      </w:pPr>
      <w:r>
        <w:rPr>
          <w:rFonts w:ascii="Times New Roman" w:hAnsi="Times New Roman"/>
        </w:rPr>
        <w:t>Remont instalacji.</w:t>
      </w:r>
    </w:p>
    <w:p>
      <w:pPr>
        <w:pStyle w:val="Normalny"/>
        <w:suppressAutoHyphens w:val="false"/>
        <w:spacing w:lineRule="auto" w:line="252" w:before="0" w:after="160"/>
        <w:textAlignment w:val="auto"/>
        <w:rPr>
          <w:color w:val="000000"/>
        </w:rPr>
      </w:pPr>
      <w:r>
        <w:rPr>
          <w:rFonts w:eastAsia="Calibri" w:cs="Times New Roman" w:ascii="Times New Roman" w:hAnsi="Times New Roman"/>
          <w:b/>
          <w:bCs/>
          <w:color w:val="000000"/>
          <w:kern w:val="2"/>
          <w:sz w:val="22"/>
          <w:szCs w:val="22"/>
          <w:shd w:fill="auto" w:val="clear"/>
          <w:lang w:eastAsia="en-US" w:bidi="ar-SA"/>
        </w:rPr>
        <w:t>Toaleta dla niepełnosprawnych:</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Zbić część ściany, aby wyznaczyć przestrzeń manewrową (1,50 x 1,50m),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Zakup i montaż drzwi o świetle przejścia min. 90cm,</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umywalki oraz lusterka uchylnego,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sedesu, </w:t>
      </w:r>
    </w:p>
    <w:p>
      <w:pPr>
        <w:pStyle w:val="Normal"/>
        <w:numPr>
          <w:ilvl w:val="0"/>
          <w:numId w:val="4"/>
        </w:numPr>
        <w:suppressAutoHyphens w:val="false"/>
        <w:spacing w:lineRule="auto" w:line="252" w:before="0" w:after="160"/>
        <w:textAlignment w:val="auto"/>
        <w:rPr>
          <w:color w:val="000000"/>
        </w:rPr>
      </w:pPr>
      <w:r>
        <w:rPr>
          <w:rFonts w:eastAsia="Calibri" w:cs="Times New Roman"/>
          <w:color w:val="000000"/>
          <w:kern w:val="2"/>
          <w:sz w:val="22"/>
          <w:szCs w:val="22"/>
          <w:shd w:fill="auto" w:val="clear"/>
          <w:lang w:eastAsia="en-US" w:bidi="ar-SA"/>
        </w:rPr>
        <w:t xml:space="preserve">Zakup i montaż 2 uchwytów uchylnych (1 do umywalki, 1 do sedesu) i 1 stałego przy WC + 1 stałego przy umywalce,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dozownika mydła,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suszarki do rąk,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podajnika na papier toaletowy,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urządzenia alarmowego (przycisk wzywania pomocy, znajdująca się na </w:t>
      </w:r>
    </w:p>
    <w:p>
      <w:pPr>
        <w:pStyle w:val="Normalny"/>
        <w:numPr>
          <w:ilvl w:val="0"/>
          <w:numId w:val="0"/>
        </w:numPr>
        <w:suppressAutoHyphens w:val="false"/>
        <w:spacing w:lineRule="auto" w:line="252" w:before="0" w:after="160"/>
        <w:ind w:hanging="0" w:left="72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maksymalnej wysokości 40 cm od poziomu posadzki),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b w:val="false"/>
          <w:i w:val="false"/>
          <w:caps w:val="false"/>
          <w:smallCaps w:val="false"/>
          <w:color w:val="000000"/>
          <w:spacing w:val="0"/>
          <w:kern w:val="2"/>
          <w:sz w:val="22"/>
          <w:szCs w:val="22"/>
          <w:shd w:fill="auto" w:val="clear"/>
          <w:lang w:eastAsia="en-US" w:bidi="ar-SA"/>
        </w:rPr>
        <w:t>Zakup i montaż lampy wraz z systemem na czujnik ruchu,</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Dostosowanie włączników świateł oraz istotnych gniazd, aby znajdowały się w miejscach, do których może dotrzeć osoba poruszająca się na wózku,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Zakup i montaż wieszaków na ubrania/bagaż 2 szt.,</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b w:val="false"/>
          <w:i w:val="false"/>
          <w:caps w:val="false"/>
          <w:smallCaps w:val="false"/>
          <w:color w:val="000000"/>
          <w:spacing w:val="0"/>
          <w:kern w:val="2"/>
          <w:sz w:val="22"/>
          <w:szCs w:val="22"/>
          <w:shd w:fill="auto" w:val="clear"/>
          <w:lang w:eastAsia="en-US" w:bidi="ar-SA"/>
        </w:rPr>
        <w:t xml:space="preserve">Zakup i montaż drzwi pełnych z otworami wentylacyjnymi, okuciami, klamką z zamkiem </w:t>
      </w:r>
    </w:p>
    <w:p>
      <w:pPr>
        <w:pStyle w:val="Normalny"/>
        <w:numPr>
          <w:ilvl w:val="0"/>
          <w:numId w:val="0"/>
        </w:numPr>
        <w:suppressAutoHyphens w:val="false"/>
        <w:spacing w:lineRule="auto" w:line="252" w:before="0" w:after="160"/>
        <w:ind w:hanging="0" w:left="720"/>
        <w:textAlignment w:val="auto"/>
        <w:rPr>
          <w:color w:val="000000"/>
        </w:rPr>
      </w:pPr>
      <w:r>
        <w:rPr>
          <w:rFonts w:eastAsia="Calibri" w:cs="Times New Roman" w:ascii="Times New Roman" w:hAnsi="Times New Roman"/>
          <w:b w:val="false"/>
          <w:i w:val="false"/>
          <w:caps w:val="false"/>
          <w:smallCaps w:val="false"/>
          <w:color w:val="000000"/>
          <w:spacing w:val="0"/>
          <w:kern w:val="2"/>
          <w:sz w:val="22"/>
          <w:szCs w:val="22"/>
          <w:shd w:fill="auto" w:val="clear"/>
          <w:lang w:eastAsia="en-US" w:bidi="ar-SA"/>
        </w:rPr>
        <w:t>łazienkowym,</w:t>
      </w:r>
      <w:r>
        <w:rPr>
          <w:rFonts w:eastAsia="Calibri" w:cs="Times New Roman" w:ascii="Times New Roman" w:hAnsi="Times New Roman"/>
          <w:color w:val="000000"/>
          <w:kern w:val="2"/>
          <w:sz w:val="22"/>
          <w:szCs w:val="22"/>
          <w:shd w:fill="auto" w:val="clear"/>
          <w:lang w:eastAsia="en-US" w:bidi="ar-SA"/>
        </w:rPr>
        <w:t xml:space="preserve">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Zakup i montaż spłuczki WC,</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płytek na ścianę,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płytek na posadzkę wykonanych z materiałów antypoślizgowych (wartość </w:t>
      </w:r>
    </w:p>
    <w:p>
      <w:pPr>
        <w:pStyle w:val="Normalny"/>
        <w:numPr>
          <w:ilvl w:val="0"/>
          <w:numId w:val="0"/>
        </w:numPr>
        <w:suppressAutoHyphens w:val="false"/>
        <w:spacing w:lineRule="auto" w:line="252" w:before="0" w:after="160"/>
        <w:ind w:hanging="0" w:left="72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poślizgu PTV lub SRV nawierzchni mokrej nie może być niższa niż 36 jednostek),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baterii uruchamianych dźwignią z przedłużonym uchwytem lub </w:t>
      </w:r>
      <w:r>
        <w:rPr>
          <w:rFonts w:eastAsia="Calibri" w:cs="Times New Roman" w:ascii="Times New Roman" w:hAnsi="Times New Roman"/>
          <w:bCs/>
          <w:color w:val="000000"/>
          <w:kern w:val="2"/>
          <w:sz w:val="22"/>
          <w:szCs w:val="22"/>
          <w:shd w:fill="auto" w:val="clear"/>
          <w:lang w:eastAsia="en-US" w:bidi="ar-SA"/>
        </w:rPr>
        <w:t>automatycznie,</w:t>
      </w:r>
    </w:p>
    <w:p>
      <w:pPr>
        <w:pStyle w:val="Normalny"/>
        <w:numPr>
          <w:ilvl w:val="0"/>
          <w:numId w:val="4"/>
        </w:numPr>
        <w:suppressAutoHyphens w:val="false"/>
        <w:spacing w:lineRule="auto" w:line="252" w:before="0" w:after="160"/>
        <w:textAlignment w:val="auto"/>
        <w:rPr>
          <w:rFonts w:ascii="Times New Roman" w:hAnsi="Times New Roman"/>
        </w:rPr>
      </w:pPr>
      <w:r>
        <w:rPr>
          <w:rFonts w:ascii="Times New Roman" w:hAnsi="Times New Roman"/>
        </w:rPr>
        <w:t>Wykonanie izolacji przeciwwilgociowych,</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bCs/>
          <w:color w:val="000000"/>
          <w:kern w:val="2"/>
          <w:sz w:val="22"/>
          <w:szCs w:val="22"/>
          <w:shd w:fill="auto" w:val="clear"/>
          <w:lang w:eastAsia="en-US" w:bidi="ar-SA"/>
        </w:rPr>
        <w:t>Remont instalacji.</w:t>
      </w:r>
    </w:p>
    <w:p>
      <w:pPr>
        <w:pStyle w:val="Normalny"/>
        <w:suppressAutoHyphens w:val="false"/>
        <w:spacing w:lineRule="auto" w:line="252" w:before="0" w:after="160"/>
        <w:textAlignment w:val="auto"/>
        <w:rPr>
          <w:color w:val="000000"/>
        </w:rPr>
      </w:pPr>
      <w:r>
        <w:rPr>
          <w:rFonts w:eastAsia="Calibri" w:cs="Times New Roman" w:ascii="Times New Roman" w:hAnsi="Times New Roman"/>
          <w:b/>
          <w:bCs/>
          <w:color w:val="000000"/>
          <w:kern w:val="2"/>
          <w:sz w:val="22"/>
          <w:szCs w:val="22"/>
          <w:shd w:fill="auto" w:val="clear"/>
          <w:lang w:eastAsia="en-US" w:bidi="ar-SA"/>
        </w:rPr>
        <w:t>Toaleta męska:</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Zakup i montaż trzech drzwi o świetle przejścia min. 90cm,</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Zakup i montaż drzwi do WC o świetle przejścia min. 80cm,</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sedesu,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dozownika mydła,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suszarki do rąk,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podajnika na papier toaletowy,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urządzenia alarmowego (przycisk wzywania pomocy, znajdująca się na </w:t>
      </w:r>
    </w:p>
    <w:p>
      <w:pPr>
        <w:pStyle w:val="Normalny"/>
        <w:numPr>
          <w:ilvl w:val="0"/>
          <w:numId w:val="0"/>
        </w:numPr>
        <w:suppressAutoHyphens w:val="false"/>
        <w:spacing w:lineRule="auto" w:line="252" w:before="0" w:after="160"/>
        <w:ind w:hanging="0" w:left="72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maksymalnej wysokości 40 cm od poziomu posadzki),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wieszaków na ubrania/bagaż 2 szt.,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b w:val="false"/>
          <w:i w:val="false"/>
          <w:caps w:val="false"/>
          <w:smallCaps w:val="false"/>
          <w:color w:val="000000"/>
          <w:spacing w:val="0"/>
          <w:kern w:val="2"/>
          <w:sz w:val="22"/>
          <w:szCs w:val="22"/>
          <w:shd w:fill="auto" w:val="clear"/>
          <w:lang w:eastAsia="en-US" w:bidi="ar-SA"/>
        </w:rPr>
        <w:t xml:space="preserve">Zakup i montaż drzwi pełnych z otworami wentylacyjnymi, okuciami, klamką z zamkiem </w:t>
      </w:r>
    </w:p>
    <w:p>
      <w:pPr>
        <w:pStyle w:val="Normalny"/>
        <w:numPr>
          <w:ilvl w:val="0"/>
          <w:numId w:val="0"/>
        </w:numPr>
        <w:suppressAutoHyphens w:val="false"/>
        <w:spacing w:lineRule="auto" w:line="252" w:before="0" w:after="160"/>
        <w:ind w:hanging="0" w:left="720"/>
        <w:textAlignment w:val="auto"/>
        <w:rPr>
          <w:color w:val="000000"/>
        </w:rPr>
      </w:pPr>
      <w:r>
        <w:rPr>
          <w:rFonts w:eastAsia="Calibri" w:cs="Times New Roman" w:ascii="Times New Roman" w:hAnsi="Times New Roman"/>
          <w:b w:val="false"/>
          <w:i w:val="false"/>
          <w:caps w:val="false"/>
          <w:smallCaps w:val="false"/>
          <w:color w:val="000000"/>
          <w:spacing w:val="0"/>
          <w:kern w:val="2"/>
          <w:sz w:val="22"/>
          <w:szCs w:val="22"/>
          <w:shd w:fill="auto" w:val="clear"/>
          <w:lang w:eastAsia="en-US" w:bidi="ar-SA"/>
        </w:rPr>
        <w:t>łazienkowym,</w:t>
      </w:r>
      <w:r>
        <w:rPr>
          <w:rFonts w:eastAsia="Calibri" w:cs="Times New Roman" w:ascii="Times New Roman" w:hAnsi="Times New Roman"/>
          <w:color w:val="000000"/>
          <w:kern w:val="2"/>
          <w:sz w:val="22"/>
          <w:szCs w:val="22"/>
          <w:shd w:fill="auto" w:val="clear"/>
          <w:lang w:eastAsia="en-US" w:bidi="ar-SA"/>
        </w:rPr>
        <w:t xml:space="preserve">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Zakup i montaż spłuczki WC,</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płytek na ścianę, </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Zakup i montaż płytek na posadzkę wykonanych z materiałów antypoślizgowych (wartość </w:t>
      </w:r>
    </w:p>
    <w:p>
      <w:pPr>
        <w:pStyle w:val="Normalny"/>
        <w:numPr>
          <w:ilvl w:val="0"/>
          <w:numId w:val="0"/>
        </w:numPr>
        <w:suppressAutoHyphens w:val="false"/>
        <w:spacing w:lineRule="auto" w:line="252" w:before="0" w:after="160"/>
        <w:ind w:hanging="0" w:left="720"/>
        <w:textAlignment w:val="auto"/>
        <w:rPr>
          <w:color w:val="000000"/>
        </w:rPr>
      </w:pPr>
      <w:r>
        <w:rPr>
          <w:rFonts w:eastAsia="Calibri" w:cs="Times New Roman" w:ascii="Times New Roman" w:hAnsi="Times New Roman"/>
          <w:color w:val="000000"/>
          <w:kern w:val="2"/>
          <w:sz w:val="22"/>
          <w:szCs w:val="22"/>
          <w:shd w:fill="auto" w:val="clear"/>
          <w:lang w:eastAsia="en-US" w:bidi="ar-SA"/>
        </w:rPr>
        <w:t xml:space="preserve">poślizgu PTV lub SRV nawierzchni mokrej nie może być niższa niż 36 jednostek), </w:t>
      </w:r>
    </w:p>
    <w:p>
      <w:pPr>
        <w:pStyle w:val="Normalny"/>
        <w:numPr>
          <w:ilvl w:val="0"/>
          <w:numId w:val="4"/>
        </w:numPr>
        <w:suppressAutoHyphens w:val="false"/>
        <w:spacing w:lineRule="auto" w:line="252" w:before="0" w:after="160"/>
        <w:textAlignment w:val="auto"/>
        <w:rPr>
          <w:rFonts w:ascii="Times New Roman" w:hAnsi="Times New Roman" w:eastAsia="Calibri" w:cs="Times New Roman"/>
          <w:bCs/>
          <w:color w:val="000000"/>
          <w:kern w:val="2"/>
          <w:sz w:val="22"/>
          <w:szCs w:val="22"/>
          <w:shd w:fill="auto" w:val="clear"/>
          <w:lang w:eastAsia="en-US" w:bidi="ar-SA"/>
        </w:rPr>
      </w:pPr>
      <w:r>
        <w:rPr>
          <w:rFonts w:eastAsia="Calibri" w:cs="Times New Roman" w:ascii="Times New Roman" w:hAnsi="Times New Roman"/>
          <w:bCs/>
          <w:color w:val="000000"/>
          <w:kern w:val="2"/>
          <w:sz w:val="22"/>
          <w:szCs w:val="22"/>
          <w:shd w:fill="auto" w:val="clear"/>
          <w:lang w:eastAsia="en-US" w:bidi="ar-SA"/>
        </w:rPr>
        <w:t>Zakup i montaż baterii uruchamianych dźwignią z przedłużonym uchwytem lub automatycznie,</w:t>
      </w:r>
    </w:p>
    <w:p>
      <w:pPr>
        <w:pStyle w:val="Normalny"/>
        <w:numPr>
          <w:ilvl w:val="0"/>
          <w:numId w:val="4"/>
        </w:numPr>
        <w:suppressAutoHyphens w:val="false"/>
        <w:spacing w:lineRule="auto" w:line="252" w:before="0" w:after="160"/>
        <w:textAlignment w:val="auto"/>
        <w:rPr>
          <w:rFonts w:ascii="Times New Roman" w:hAnsi="Times New Roman"/>
        </w:rPr>
      </w:pPr>
      <w:r>
        <w:rPr>
          <w:rFonts w:ascii="Times New Roman" w:hAnsi="Times New Roman"/>
        </w:rPr>
        <w:t>Wykonanie izolacji przeciwwilgociowych,</w:t>
      </w:r>
    </w:p>
    <w:p>
      <w:pPr>
        <w:pStyle w:val="Normalny"/>
        <w:numPr>
          <w:ilvl w:val="0"/>
          <w:numId w:val="4"/>
        </w:numPr>
        <w:suppressAutoHyphens w:val="false"/>
        <w:spacing w:lineRule="auto" w:line="252" w:before="0" w:after="160"/>
        <w:textAlignment w:val="auto"/>
        <w:rPr>
          <w:color w:val="000000"/>
        </w:rPr>
      </w:pPr>
      <w:r>
        <w:rPr>
          <w:rFonts w:eastAsia="Calibri" w:cs="Times New Roman" w:ascii="Times New Roman" w:hAnsi="Times New Roman"/>
          <w:bCs/>
          <w:color w:val="000000"/>
          <w:kern w:val="2"/>
          <w:sz w:val="22"/>
          <w:szCs w:val="22"/>
          <w:shd w:fill="auto" w:val="clear"/>
          <w:lang w:eastAsia="en-US" w:bidi="ar-SA"/>
        </w:rPr>
        <w:t>Remont instalacji.</w:t>
      </w:r>
    </w:p>
    <w:p>
      <w:pPr>
        <w:pStyle w:val="Normal"/>
        <w:spacing w:lineRule="auto" w:line="360" w:before="100" w:after="0"/>
        <w:ind w:hanging="0" w:left="0"/>
        <w:jc w:val="both"/>
        <w:rPr>
          <w:b/>
          <w:bCs/>
          <w:color w:val="000000"/>
        </w:rPr>
      </w:pPr>
      <w:r>
        <w:rPr>
          <w:b/>
          <w:bCs/>
          <w:color w:val="000000"/>
        </w:rPr>
        <w:t>Zakres prac objętych opracowaniem projektowym wynikający z dostosowania budynku do aktualnych przepisów pożarowych wynikających z ekspertyzy:</w:t>
      </w:r>
    </w:p>
    <w:p>
      <w:pPr>
        <w:pStyle w:val="Normal"/>
        <w:spacing w:lineRule="auto" w:line="360" w:before="100" w:after="0"/>
        <w:ind w:hanging="0" w:left="0"/>
        <w:jc w:val="both"/>
        <w:rPr>
          <w:color w:val="000000"/>
        </w:rPr>
      </w:pPr>
      <w:r>
        <w:rPr>
          <w:color w:val="000000"/>
        </w:rPr>
        <w:t>- poszerzenie otworów drzwiowych</w:t>
      </w:r>
    </w:p>
    <w:p>
      <w:pPr>
        <w:pStyle w:val="Normal"/>
        <w:spacing w:lineRule="auto" w:line="360" w:before="100" w:after="0"/>
        <w:ind w:hanging="0" w:left="0"/>
        <w:jc w:val="both"/>
        <w:rPr>
          <w:color w:val="000000"/>
        </w:rPr>
      </w:pPr>
      <w:r>
        <w:rPr>
          <w:color w:val="000000"/>
        </w:rPr>
        <w:t>- przebudowa instalacji hydrantowej</w:t>
      </w:r>
    </w:p>
    <w:p>
      <w:pPr>
        <w:pStyle w:val="Normal"/>
        <w:spacing w:lineRule="auto" w:line="360" w:before="100" w:after="0"/>
        <w:ind w:hanging="0" w:left="0"/>
        <w:jc w:val="both"/>
        <w:rPr>
          <w:color w:val="000000"/>
        </w:rPr>
      </w:pPr>
      <w:r>
        <w:rPr>
          <w:color w:val="000000"/>
        </w:rPr>
        <w:t>- wykonanie instalacji alarmowej dymowej</w:t>
      </w:r>
    </w:p>
    <w:p>
      <w:pPr>
        <w:pStyle w:val="Normal"/>
        <w:spacing w:lineRule="auto" w:line="360" w:before="100" w:after="0"/>
        <w:ind w:hanging="0" w:left="0"/>
        <w:jc w:val="both"/>
        <w:rPr>
          <w:color w:val="000000"/>
        </w:rPr>
      </w:pPr>
      <w:r>
        <w:rPr>
          <w:color w:val="000000"/>
        </w:rPr>
        <w:t>- wydzielenie stref pożarowych w budynku</w:t>
      </w:r>
    </w:p>
    <w:p>
      <w:pPr>
        <w:pStyle w:val="Normal"/>
        <w:spacing w:lineRule="auto" w:line="360" w:before="100" w:after="0"/>
        <w:ind w:hanging="0" w:left="0"/>
        <w:jc w:val="both"/>
        <w:rPr>
          <w:color w:val="000000"/>
        </w:rPr>
      </w:pPr>
      <w:r>
        <w:rPr>
          <w:color w:val="000000"/>
        </w:rPr>
        <w:t>- wykonanie odymiania klatki schodowej</w:t>
      </w:r>
    </w:p>
    <w:p>
      <w:pPr>
        <w:pStyle w:val="Heading1"/>
        <w:numPr>
          <w:ilvl w:val="0"/>
          <w:numId w:val="0"/>
        </w:numPr>
        <w:ind w:hanging="0" w:left="720"/>
        <w:rPr>
          <w:color w:val="000000"/>
        </w:rPr>
      </w:pPr>
      <w:bookmarkStart w:id="1" w:name="__RefHeading___Toc8824_1000694973"/>
      <w:bookmarkEnd w:id="1"/>
      <w:r>
        <w:rPr/>
        <w:t xml:space="preserve">2. DANE O BUDYNKU </w:t>
      </w:r>
    </w:p>
    <w:p>
      <w:pPr>
        <w:pStyle w:val="Normal"/>
        <w:spacing w:lineRule="auto" w:line="360" w:before="100" w:after="0"/>
        <w:ind w:hanging="0" w:left="0"/>
        <w:jc w:val="both"/>
        <w:rPr>
          <w:color w:val="000000"/>
        </w:rPr>
      </w:pPr>
      <w:r>
        <w:rPr>
          <w:rFonts w:eastAsia="Times New Roman"/>
          <w:b/>
          <w:bCs/>
          <w:color w:val="000000"/>
          <w:sz w:val="22"/>
          <w:szCs w:val="22"/>
          <w:shd w:fill="auto" w:val="clear"/>
          <w:lang w:eastAsia="pl-PL"/>
        </w:rPr>
        <w:t xml:space="preserve">2.1. FUNKCJA I ROZWIĄZANIA FUNKCJONALNO-PRZESTRZENNE </w:t>
      </w:r>
    </w:p>
    <w:p>
      <w:pPr>
        <w:pStyle w:val="Normal"/>
        <w:spacing w:lineRule="auto" w:line="360" w:before="100" w:after="0"/>
        <w:ind w:hanging="0" w:left="0"/>
        <w:jc w:val="both"/>
        <w:rPr>
          <w:color w:val="000000"/>
        </w:rPr>
      </w:pPr>
      <w:r>
        <w:rPr>
          <w:rFonts w:eastAsia="Times New Roman"/>
          <w:b/>
          <w:bCs/>
          <w:color w:val="000000"/>
          <w:sz w:val="22"/>
          <w:szCs w:val="22"/>
          <w:shd w:fill="auto" w:val="clear"/>
          <w:lang w:eastAsia="pl-PL"/>
        </w:rPr>
        <w:t xml:space="preserve">2.1.1. Funkcja </w:t>
      </w:r>
    </w:p>
    <w:p>
      <w:pPr>
        <w:pStyle w:val="Normal"/>
        <w:spacing w:lineRule="auto" w:line="360" w:before="100" w:after="0"/>
        <w:ind w:hanging="0" w:left="0"/>
        <w:jc w:val="both"/>
        <w:rPr>
          <w:color w:val="000000"/>
        </w:rPr>
      </w:pPr>
      <w:r>
        <w:rPr>
          <w:rFonts w:eastAsia="Times New Roman"/>
          <w:bCs/>
          <w:color w:val="000000"/>
          <w:sz w:val="22"/>
          <w:szCs w:val="22"/>
          <w:shd w:fill="auto" w:val="clear"/>
          <w:lang w:eastAsia="pl-PL"/>
        </w:rPr>
        <w:t xml:space="preserve">Istniejący budynek pełni funkcję </w:t>
      </w:r>
      <w:r>
        <w:rPr>
          <w:rFonts w:eastAsia="Times New Roman"/>
          <w:bCs/>
          <w:color w:val="000000"/>
          <w:sz w:val="22"/>
          <w:szCs w:val="22"/>
          <w:shd w:fill="auto" w:val="clear"/>
          <w:lang w:eastAsia="pl-PL"/>
        </w:rPr>
        <w:t>zespołu szkolno-przedszkolnego</w:t>
      </w:r>
      <w:r>
        <w:rPr>
          <w:rFonts w:eastAsia="Times New Roman"/>
          <w:bCs/>
          <w:color w:val="000000"/>
          <w:sz w:val="22"/>
          <w:szCs w:val="22"/>
          <w:shd w:fill="auto" w:val="clear"/>
          <w:lang w:eastAsia="pl-PL"/>
        </w:rPr>
        <w:t>. W ramach prac projektowych nie przewiduje się zmiany w zakresie funkcji budynku czy jego charakterystycznych parametrów.</w:t>
      </w:r>
    </w:p>
    <w:p>
      <w:pPr>
        <w:pStyle w:val="Normal"/>
        <w:spacing w:lineRule="auto" w:line="360" w:before="100" w:after="0"/>
        <w:ind w:hanging="0" w:left="0"/>
        <w:jc w:val="both"/>
        <w:rPr>
          <w:color w:val="000000"/>
        </w:rPr>
      </w:pPr>
      <w:r>
        <w:rPr>
          <w:rFonts w:eastAsia="Times New Roman"/>
          <w:color w:val="000000"/>
          <w:sz w:val="22"/>
          <w:szCs w:val="22"/>
          <w:shd w:fill="auto" w:val="clear"/>
          <w:lang w:eastAsia="pl-PL"/>
        </w:rPr>
        <w:t xml:space="preserve">Budynek przewidziany jest na stały pobyt ludzi i zaprojektowany względem Rozporządzenie Ministra Infrastruktury z dnia 12 kwietnia 2002 r. w sprawie warunków technicznych, jakim powinny odpowiadać budynki i ich usytuowanie. </w:t>
      </w:r>
    </w:p>
    <w:p>
      <w:pPr>
        <w:pStyle w:val="Normal"/>
        <w:spacing w:lineRule="auto" w:line="360" w:before="100" w:after="0"/>
        <w:ind w:hanging="0" w:left="0"/>
        <w:jc w:val="both"/>
        <w:rPr>
          <w:rFonts w:ascii="Times New Roman" w:hAnsi="Times New Roman" w:eastAsia="Times New Roman"/>
          <w:color w:val="000000"/>
          <w:sz w:val="22"/>
          <w:szCs w:val="22"/>
          <w:shd w:fill="FFFF00" w:val="clear"/>
          <w:lang w:eastAsia="pl-PL"/>
        </w:rPr>
      </w:pPr>
      <w:r>
        <w:rPr>
          <w:rFonts w:eastAsia="Times New Roman"/>
          <w:color w:val="000000"/>
          <w:sz w:val="22"/>
          <w:szCs w:val="22"/>
          <w:shd w:fill="FFFF00" w:val="clear"/>
          <w:lang w:eastAsia="pl-PL"/>
        </w:rPr>
      </w:r>
    </w:p>
    <w:p>
      <w:pPr>
        <w:pStyle w:val="Normal"/>
        <w:spacing w:lineRule="auto" w:line="360" w:before="100" w:after="0"/>
        <w:ind w:hanging="0" w:left="0"/>
        <w:jc w:val="both"/>
        <w:rPr>
          <w:color w:val="000000"/>
        </w:rPr>
      </w:pPr>
      <w:r>
        <w:rPr>
          <w:rFonts w:eastAsia="Times New Roman"/>
          <w:b/>
          <w:bCs/>
          <w:color w:val="000000"/>
          <w:sz w:val="22"/>
          <w:szCs w:val="22"/>
          <w:shd w:fill="auto" w:val="clear"/>
          <w:lang w:eastAsia="pl-PL"/>
        </w:rPr>
        <w:t xml:space="preserve">2.1.2. Powiązania funkcjonalne </w:t>
      </w:r>
    </w:p>
    <w:p>
      <w:pPr>
        <w:pStyle w:val="Normal"/>
        <w:spacing w:lineRule="auto" w:line="360" w:before="100" w:after="0"/>
        <w:ind w:hanging="0" w:left="0"/>
        <w:jc w:val="both"/>
        <w:rPr>
          <w:color w:val="000000"/>
        </w:rPr>
      </w:pPr>
      <w:r>
        <w:rPr>
          <w:rFonts w:eastAsia="Times New Roman"/>
          <w:bCs/>
          <w:color w:val="000000"/>
          <w:sz w:val="22"/>
          <w:szCs w:val="22"/>
          <w:shd w:fill="auto" w:val="clear"/>
          <w:lang w:eastAsia="pl-PL"/>
        </w:rPr>
        <w:t xml:space="preserve">Budynek stanowi jedną strefę funkcjonalną: edukacyjną. W budynku przewiduje się naukę dzieci w  wieku do lat 14. </w:t>
      </w:r>
      <w:r>
        <w:rPr>
          <w:b w:val="false"/>
          <w:i w:val="false"/>
          <w:caps w:val="false"/>
          <w:smallCaps w:val="false"/>
          <w:color w:val="000000"/>
          <w:spacing w:val="0"/>
          <w:sz w:val="22"/>
          <w:szCs w:val="22"/>
          <w:shd w:fill="auto" w:val="clear"/>
        </w:rPr>
        <w:t xml:space="preserve">Główne wejście do budynku zlokalizowane jest od strony południowej. Od strony północnej znajdują się trzy wejścia prowadzące boisko szkolne oraz parking szkolny. </w:t>
      </w:r>
      <w:r>
        <w:rPr>
          <w:rFonts w:eastAsia="Times New Roman"/>
          <w:bCs/>
          <w:color w:val="000000"/>
          <w:sz w:val="22"/>
          <w:szCs w:val="22"/>
          <w:shd w:fill="auto" w:val="clear"/>
          <w:lang w:eastAsia="pl-PL"/>
        </w:rPr>
        <w:t>Od strony wschodniej znajduje się wyjście z budynku zlokalizowane przy jednej z dwóch klatek schodowych.</w:t>
      </w:r>
    </w:p>
    <w:p>
      <w:pPr>
        <w:pStyle w:val="Normal"/>
        <w:spacing w:lineRule="auto" w:line="360" w:before="100" w:after="0"/>
        <w:ind w:hanging="0" w:left="0"/>
        <w:jc w:val="both"/>
        <w:rPr>
          <w:rFonts w:ascii="Times New Roman" w:hAnsi="Times New Roman" w:eastAsia="Times New Roman"/>
          <w:bCs/>
          <w:color w:val="000000"/>
          <w:sz w:val="22"/>
          <w:szCs w:val="22"/>
          <w:shd w:fill="FFFF00" w:val="clear"/>
          <w:lang w:eastAsia="pl-PL"/>
        </w:rPr>
      </w:pPr>
      <w:r>
        <w:rPr>
          <w:rFonts w:eastAsia="Times New Roman"/>
          <w:bCs/>
          <w:color w:val="000000"/>
          <w:sz w:val="22"/>
          <w:szCs w:val="22"/>
          <w:shd w:fill="FFFF00" w:val="clear"/>
          <w:lang w:eastAsia="pl-PL"/>
        </w:rPr>
      </w:r>
    </w:p>
    <w:p>
      <w:pPr>
        <w:pStyle w:val="Normal"/>
        <w:spacing w:lineRule="auto" w:line="360" w:before="100" w:after="0"/>
        <w:ind w:hanging="0" w:left="0"/>
        <w:jc w:val="both"/>
        <w:rPr>
          <w:color w:val="000000"/>
        </w:rPr>
      </w:pPr>
      <w:r>
        <w:rPr>
          <w:rFonts w:eastAsia="Times New Roman"/>
          <w:b/>
          <w:bCs/>
          <w:color w:val="000000"/>
          <w:sz w:val="22"/>
          <w:szCs w:val="22"/>
          <w:shd w:fill="auto" w:val="clear"/>
          <w:lang w:eastAsia="pl-PL"/>
        </w:rPr>
        <w:t xml:space="preserve">2.2. PARAMETRY TECHNICZNE BUDYNKU </w:t>
      </w:r>
    </w:p>
    <w:p>
      <w:pPr>
        <w:pStyle w:val="Normal"/>
        <w:spacing w:lineRule="auto" w:line="360" w:before="100" w:after="0"/>
        <w:ind w:hanging="0" w:left="0"/>
        <w:jc w:val="both"/>
        <w:rPr>
          <w:color w:val="000000"/>
        </w:rPr>
      </w:pPr>
      <w:r>
        <w:rPr>
          <w:rFonts w:eastAsia="Times New Roman"/>
          <w:b/>
          <w:bCs/>
          <w:color w:val="000000"/>
          <w:sz w:val="22"/>
          <w:szCs w:val="22"/>
          <w:shd w:fill="auto" w:val="clear"/>
          <w:lang w:eastAsia="pl-PL"/>
        </w:rPr>
        <w:t xml:space="preserve">2.2.1 Rozwiązania materiałowo – konstrukcyjne części projektowanej: </w:t>
      </w:r>
    </w:p>
    <w:p>
      <w:pPr>
        <w:pStyle w:val="NoSpacing"/>
        <w:spacing w:lineRule="auto" w:line="360"/>
        <w:ind w:hanging="0" w:left="0"/>
        <w:rPr>
          <w:rFonts w:ascii="Times New Roman" w:hAnsi="Times New Roman"/>
          <w:b/>
          <w:bCs/>
          <w:color w:val="000000"/>
          <w:sz w:val="22"/>
          <w:szCs w:val="22"/>
          <w:shd w:fill="auto" w:val="clear"/>
          <w:lang w:eastAsia="pl-PL"/>
        </w:rPr>
      </w:pPr>
      <w:r>
        <w:rPr>
          <w:rFonts w:ascii="Times New Roman" w:hAnsi="Times New Roman"/>
          <w:b/>
          <w:bCs/>
          <w:color w:val="000000"/>
          <w:sz w:val="22"/>
          <w:szCs w:val="22"/>
          <w:shd w:fill="auto" w:val="clear"/>
          <w:lang w:eastAsia="pl-PL"/>
        </w:rPr>
      </w:r>
    </w:p>
    <w:p>
      <w:pPr>
        <w:pStyle w:val="NoSpacing"/>
        <w:spacing w:lineRule="auto" w:line="360"/>
        <w:ind w:hanging="0" w:left="0"/>
        <w:rPr>
          <w:color w:val="000000"/>
        </w:rPr>
      </w:pPr>
      <w:r>
        <w:rPr>
          <w:rFonts w:ascii="Times New Roman" w:hAnsi="Times New Roman"/>
          <w:b/>
          <w:bCs/>
          <w:color w:val="000000"/>
          <w:sz w:val="22"/>
          <w:szCs w:val="22"/>
          <w:shd w:fill="auto" w:val="clear"/>
          <w:lang w:eastAsia="pl-PL"/>
        </w:rPr>
        <w:t>Ściany wewnętrzne działowe</w:t>
      </w:r>
      <w:r>
        <w:rPr>
          <w:rFonts w:ascii="Times New Roman" w:hAnsi="Times New Roman"/>
          <w:color w:val="000000"/>
          <w:sz w:val="22"/>
          <w:szCs w:val="22"/>
          <w:shd w:fill="auto" w:val="clear"/>
          <w:lang w:eastAsia="pl-PL"/>
        </w:rPr>
        <w:t xml:space="preserve"> z bloczków betonu komórkowego 6cm lub 9cm obustronnie wytynkowanych tynkiem cem.-wap. po 1,5cm, od strony toalety wykończone płytkami ceramicznymi na kleju.</w:t>
      </w:r>
    </w:p>
    <w:p>
      <w:pPr>
        <w:pStyle w:val="NoSpacing"/>
        <w:spacing w:lineRule="auto" w:line="360"/>
        <w:ind w:hanging="0" w:left="0"/>
        <w:rPr>
          <w:rFonts w:ascii="Times New Roman" w:hAnsi="Times New Roman"/>
          <w:color w:val="000000"/>
          <w:sz w:val="22"/>
          <w:szCs w:val="22"/>
          <w:shd w:fill="FFFF00" w:val="clear"/>
          <w:lang w:eastAsia="pl-PL"/>
        </w:rPr>
      </w:pPr>
      <w:r>
        <w:rPr>
          <w:rFonts w:ascii="Times New Roman" w:hAnsi="Times New Roman"/>
          <w:color w:val="000000"/>
          <w:sz w:val="22"/>
          <w:szCs w:val="22"/>
          <w:shd w:fill="FFFF00" w:val="clear"/>
          <w:lang w:eastAsia="pl-PL"/>
        </w:rPr>
      </w:r>
    </w:p>
    <w:p>
      <w:pPr>
        <w:pStyle w:val="NoSpacing"/>
        <w:spacing w:lineRule="auto" w:line="360"/>
        <w:ind w:hanging="0" w:left="0"/>
        <w:rPr>
          <w:color w:val="000000"/>
        </w:rPr>
      </w:pPr>
      <w:r>
        <w:rPr>
          <w:rFonts w:eastAsia="Times New Roman" w:ascii="Times New Roman" w:hAnsi="Times New Roman"/>
          <w:b/>
          <w:bCs/>
          <w:color w:val="000000"/>
          <w:sz w:val="22"/>
          <w:szCs w:val="22"/>
          <w:shd w:fill="auto" w:val="clear"/>
          <w:lang w:eastAsia="pl-PL"/>
        </w:rPr>
        <w:t xml:space="preserve">2.2.2. Naświetlenie </w:t>
      </w:r>
    </w:p>
    <w:p>
      <w:pPr>
        <w:pStyle w:val="Normal"/>
        <w:spacing w:lineRule="auto" w:line="360" w:before="100" w:after="0"/>
        <w:ind w:hanging="0" w:left="0"/>
        <w:jc w:val="both"/>
        <w:rPr>
          <w:color w:val="000000"/>
        </w:rPr>
      </w:pPr>
      <w:r>
        <w:rPr>
          <w:rFonts w:eastAsia="Times New Roman"/>
          <w:color w:val="000000"/>
          <w:sz w:val="22"/>
          <w:szCs w:val="22"/>
          <w:shd w:fill="auto" w:val="clear"/>
          <w:lang w:eastAsia="pl-PL"/>
        </w:rPr>
        <w:t>W stanie istniejącym we wszystkich pomieszczeniach budynku zapewniono oświetlenie dzienne dostosowane do kształtu i wielkości powierzchni. Zapewniono odpowiedni stosunek okien do powierzchni podłogi zgodnie z Warunkami Technicznymi i Polską Normą. Oświetlenie dzienne zostało dostosowane do rodzaju wykonywanych prac w poszczególnych pomieszczeniach.</w:t>
      </w:r>
    </w:p>
    <w:p>
      <w:pPr>
        <w:pStyle w:val="Normal"/>
        <w:spacing w:lineRule="auto" w:line="360" w:before="100" w:after="0"/>
        <w:ind w:hanging="0" w:left="0"/>
        <w:jc w:val="both"/>
        <w:rPr>
          <w:rFonts w:ascii="Times New Roman" w:hAnsi="Times New Roman" w:eastAsia="Times New Roman"/>
          <w:color w:val="000000"/>
          <w:sz w:val="22"/>
          <w:szCs w:val="22"/>
          <w:shd w:fill="FFFF00" w:val="clear"/>
          <w:lang w:eastAsia="pl-PL"/>
        </w:rPr>
      </w:pPr>
      <w:r>
        <w:rPr>
          <w:rFonts w:eastAsia="Times New Roman"/>
          <w:color w:val="000000"/>
          <w:sz w:val="22"/>
          <w:szCs w:val="22"/>
          <w:shd w:fill="FFFF00" w:val="clear"/>
          <w:lang w:eastAsia="pl-PL"/>
        </w:rPr>
      </w:r>
    </w:p>
    <w:p>
      <w:pPr>
        <w:pStyle w:val="Normal"/>
        <w:spacing w:lineRule="auto" w:line="360" w:before="100" w:after="0"/>
        <w:ind w:hanging="0" w:left="0"/>
        <w:jc w:val="both"/>
        <w:rPr>
          <w:rFonts w:ascii="Times New Roman" w:hAnsi="Times New Roman" w:eastAsia="Times New Roman"/>
          <w:color w:val="FF0000"/>
          <w:sz w:val="22"/>
          <w:szCs w:val="22"/>
          <w:shd w:fill="FFFF00" w:val="clear"/>
          <w:lang w:eastAsia="pl-PL"/>
        </w:rPr>
      </w:pPr>
      <w:r>
        <w:rPr>
          <w:rFonts w:eastAsia="Times New Roman"/>
          <w:color w:val="FF0000"/>
          <w:sz w:val="22"/>
          <w:szCs w:val="22"/>
          <w:shd w:fill="FFFF00" w:val="clear"/>
          <w:lang w:eastAsia="pl-PL"/>
        </w:rPr>
      </w:r>
    </w:p>
    <w:p>
      <w:pPr>
        <w:pStyle w:val="Normal"/>
        <w:spacing w:lineRule="auto" w:line="360" w:before="100" w:after="0"/>
        <w:ind w:hanging="0" w:left="0"/>
        <w:jc w:val="both"/>
        <w:rPr>
          <w:color w:val="000000"/>
        </w:rPr>
      </w:pPr>
      <w:r>
        <w:rPr>
          <w:rFonts w:eastAsia="Times New Roman"/>
          <w:b/>
          <w:color w:val="000000"/>
          <w:sz w:val="22"/>
          <w:szCs w:val="22"/>
          <w:shd w:fill="auto" w:val="clear"/>
          <w:lang w:eastAsia="pl-PL"/>
        </w:rPr>
        <w:t>2.2.3. Wentylacja</w:t>
      </w:r>
    </w:p>
    <w:p>
      <w:pPr>
        <w:pStyle w:val="Normal"/>
        <w:spacing w:lineRule="auto" w:line="360" w:before="100" w:after="0"/>
        <w:ind w:hanging="0" w:left="0"/>
        <w:jc w:val="both"/>
        <w:rPr>
          <w:color w:val="000000"/>
        </w:rPr>
      </w:pPr>
      <w:r>
        <w:rPr>
          <w:rFonts w:eastAsia="Times New Roman"/>
          <w:color w:val="000000"/>
          <w:sz w:val="22"/>
          <w:szCs w:val="22"/>
          <w:shd w:fill="auto" w:val="clear"/>
          <w:lang w:eastAsia="pl-PL"/>
        </w:rPr>
        <w:t xml:space="preserve">W budynku funkcjonuje system wentylacji grawitacyjnej. </w:t>
      </w:r>
    </w:p>
    <w:p>
      <w:pPr>
        <w:pStyle w:val="NoSpacing"/>
        <w:spacing w:lineRule="auto" w:line="360"/>
        <w:ind w:hanging="0" w:left="0"/>
        <w:rPr>
          <w:color w:val="000000"/>
        </w:rPr>
      </w:pPr>
      <w:r>
        <w:rPr>
          <w:rFonts w:ascii="Times New Roman" w:hAnsi="Times New Roman"/>
          <w:b/>
          <w:bCs/>
          <w:color w:val="000000"/>
          <w:sz w:val="22"/>
          <w:szCs w:val="22"/>
          <w:shd w:fill="auto" w:val="clear"/>
          <w:lang w:eastAsia="pl-PL"/>
        </w:rPr>
        <w:t>2.2.4. Dostępność dla osób niepełnosprawnych</w:t>
      </w:r>
    </w:p>
    <w:p>
      <w:pPr>
        <w:pStyle w:val="NoSpacing"/>
        <w:spacing w:lineRule="auto" w:line="360"/>
        <w:ind w:hanging="0" w:left="0"/>
        <w:rPr>
          <w:color w:val="000000"/>
        </w:rPr>
      </w:pPr>
      <w:r>
        <w:rPr>
          <w:rFonts w:ascii="Times New Roman" w:hAnsi="Times New Roman"/>
          <w:b/>
          <w:bCs/>
          <w:color w:val="000000"/>
          <w:sz w:val="22"/>
          <w:szCs w:val="22"/>
          <w:shd w:fill="auto" w:val="clear"/>
          <w:lang w:eastAsia="pl-PL"/>
        </w:rPr>
        <w:t>Informacje ogólne:</w:t>
      </w:r>
    </w:p>
    <w:p>
      <w:pPr>
        <w:pStyle w:val="NoSpacing"/>
        <w:spacing w:lineRule="auto" w:line="360"/>
        <w:ind w:hanging="0" w:left="0"/>
        <w:rPr>
          <w:color w:val="000000"/>
        </w:rPr>
      </w:pPr>
      <w:r>
        <w:rPr>
          <w:rFonts w:ascii="Times New Roman" w:hAnsi="Times New Roman"/>
          <w:color w:val="000000"/>
          <w:sz w:val="22"/>
          <w:szCs w:val="22"/>
          <w:shd w:fill="auto" w:val="clear"/>
          <w:lang w:eastAsia="pl-PL"/>
        </w:rPr>
        <w:t>Budynek jest przewidziany dla dzieci, uczniów do lat 14 z dostępnością dla osób niepełnosprawnych. Wszystkie kondygnacje dostępne są przez dwie klatki schodowe. Dostęp do kondygnacji parteru przystosowano do korzystania przez osoby niepełnosprawne, poprzez montaż, w wymaganych miejscach, pochylni, wyposażonych obustronnie w balustrady. Na parterze będzie znajdowała się toaleta dostępna dla osób niepełnosprawnych. Dostosowano jej parametry techniczne i użytkowe do aktualnie obowiązujących standardów.</w:t>
      </w:r>
    </w:p>
    <w:p>
      <w:pPr>
        <w:pStyle w:val="NoSpacing"/>
        <w:spacing w:lineRule="auto" w:line="360"/>
        <w:ind w:hanging="0" w:left="0"/>
        <w:rPr>
          <w:rFonts w:ascii="Times New Roman" w:hAnsi="Times New Roman"/>
          <w:color w:val="FF0000"/>
          <w:shd w:fill="FFFF00" w:val="clear"/>
          <w:lang w:eastAsia="pl-PL"/>
        </w:rPr>
      </w:pPr>
      <w:r>
        <w:rPr>
          <w:rFonts w:ascii="Times New Roman" w:hAnsi="Times New Roman"/>
          <w:color w:val="FF0000"/>
          <w:shd w:fill="FFFF00" w:val="clear"/>
          <w:lang w:eastAsia="pl-PL"/>
        </w:rPr>
      </w:r>
    </w:p>
    <w:p>
      <w:pPr>
        <w:pStyle w:val="Heading1"/>
        <w:keepNext w:val="true"/>
        <w:keepLines/>
        <w:widowControl w:val="false"/>
        <w:numPr>
          <w:ilvl w:val="0"/>
          <w:numId w:val="0"/>
        </w:numPr>
        <w:tabs>
          <w:tab w:val="clear" w:pos="708"/>
        </w:tabs>
        <w:suppressAutoHyphens w:val="true"/>
        <w:bidi w:val="0"/>
        <w:spacing w:lineRule="auto" w:line="276" w:before="1" w:after="0"/>
        <w:ind w:hanging="0" w:left="13" w:right="0"/>
        <w:rPr/>
      </w:pPr>
      <w:bookmarkStart w:id="2" w:name="__RefHeading___Toc8826_1000694973"/>
      <w:bookmarkEnd w:id="2"/>
      <w:r>
        <w:rPr>
          <w:rStyle w:val="Domylnaczcionkaakapitu"/>
          <w:i w:val="false"/>
          <w:iCs w:val="false"/>
          <w:color w:val="000000"/>
          <w:sz w:val="22"/>
          <w:szCs w:val="22"/>
          <w:shd w:fill="auto" w:val="clear"/>
        </w:rPr>
        <w:t>Wytyczne dla pomieszczeń</w:t>
      </w:r>
      <w:r>
        <w:rPr>
          <w:rStyle w:val="Domylnaczcionkaakapitu"/>
          <w:i w:val="false"/>
          <w:iCs w:val="false"/>
          <w:color w:val="000000"/>
          <w:spacing w:val="18"/>
          <w:sz w:val="22"/>
          <w:szCs w:val="22"/>
          <w:shd w:fill="auto" w:val="clear"/>
        </w:rPr>
        <w:t xml:space="preserve"> </w:t>
      </w:r>
      <w:r>
        <w:rPr>
          <w:rStyle w:val="Domylnaczcionkaakapitu"/>
          <w:i w:val="false"/>
          <w:iCs w:val="false"/>
          <w:color w:val="000000"/>
          <w:sz w:val="22"/>
          <w:szCs w:val="22"/>
          <w:shd w:fill="auto" w:val="clear"/>
        </w:rPr>
        <w:t>i</w:t>
      </w:r>
      <w:r>
        <w:rPr>
          <w:rStyle w:val="Domylnaczcionkaakapitu"/>
          <w:i w:val="false"/>
          <w:iCs w:val="false"/>
          <w:color w:val="000000"/>
          <w:spacing w:val="1"/>
          <w:sz w:val="22"/>
          <w:szCs w:val="22"/>
          <w:shd w:fill="auto" w:val="clear"/>
        </w:rPr>
        <w:t xml:space="preserve"> </w:t>
      </w:r>
      <w:r>
        <w:rPr>
          <w:rStyle w:val="Domylnaczcionkaakapitu"/>
          <w:i w:val="false"/>
          <w:iCs w:val="false"/>
          <w:color w:val="000000"/>
          <w:sz w:val="22"/>
          <w:szCs w:val="22"/>
          <w:shd w:fill="auto" w:val="clear"/>
        </w:rPr>
        <w:t>urz</w:t>
      </w:r>
      <w:r>
        <w:rPr>
          <w:rStyle w:val="Domylnaczcionkaakapitu"/>
          <w:i w:val="false"/>
          <w:iCs w:val="false"/>
          <w:color w:val="000000"/>
          <w:spacing w:val="2"/>
          <w:sz w:val="22"/>
          <w:szCs w:val="22"/>
          <w:shd w:fill="auto" w:val="clear"/>
        </w:rPr>
        <w:t>ą</w:t>
      </w:r>
      <w:r>
        <w:rPr>
          <w:rStyle w:val="Domylnaczcionkaakapitu"/>
          <w:i w:val="false"/>
          <w:iCs w:val="false"/>
          <w:color w:val="000000"/>
          <w:sz w:val="22"/>
          <w:szCs w:val="22"/>
          <w:shd w:fill="auto" w:val="clear"/>
        </w:rPr>
        <w:t>dzeń</w:t>
      </w:r>
      <w:r>
        <w:rPr>
          <w:rStyle w:val="Domylnaczcionkaakapitu"/>
          <w:i w:val="false"/>
          <w:iCs w:val="false"/>
          <w:color w:val="000000"/>
          <w:spacing w:val="22"/>
          <w:sz w:val="22"/>
          <w:szCs w:val="22"/>
          <w:shd w:fill="auto" w:val="clear"/>
        </w:rPr>
        <w:t xml:space="preserve"> </w:t>
      </w:r>
      <w:r>
        <w:rPr>
          <w:rStyle w:val="Domylnaczcionkaakapitu"/>
          <w:i w:val="false"/>
          <w:iCs w:val="false"/>
          <w:color w:val="000000"/>
          <w:sz w:val="22"/>
          <w:szCs w:val="22"/>
          <w:shd w:fill="auto" w:val="clear"/>
        </w:rPr>
        <w:t>higieniczno-</w:t>
      </w:r>
      <w:r>
        <w:rPr>
          <w:rStyle w:val="Domylnaczcionkaakapitu"/>
          <w:i w:val="false"/>
          <w:iCs w:val="false"/>
          <w:color w:val="000000"/>
          <w:spacing w:val="-2"/>
          <w:sz w:val="22"/>
          <w:szCs w:val="22"/>
          <w:shd w:fill="auto" w:val="clear"/>
        </w:rPr>
        <w:t>sanitarnych</w:t>
      </w:r>
    </w:p>
    <w:p>
      <w:pPr>
        <w:pStyle w:val="Heading3"/>
        <w:keepNext w:val="true"/>
        <w:keepLines/>
        <w:widowControl w:val="false"/>
        <w:numPr>
          <w:ilvl w:val="0"/>
          <w:numId w:val="0"/>
        </w:numPr>
        <w:tabs>
          <w:tab w:val="clear" w:pos="708"/>
          <w:tab w:val="left" w:pos="0" w:leader="none"/>
        </w:tabs>
        <w:suppressAutoHyphens w:val="true"/>
        <w:bidi w:val="0"/>
        <w:spacing w:lineRule="auto" w:line="276" w:before="200" w:after="0"/>
        <w:ind w:hanging="0" w:left="0" w:right="0"/>
        <w:rPr/>
      </w:pPr>
      <w:bookmarkStart w:id="3" w:name="__RefHeading___Toc8828_1000694973"/>
      <w:bookmarkEnd w:id="3"/>
      <w:r>
        <w:rPr>
          <w:rStyle w:val="Domylnaczcionkaakapitu"/>
          <w:rFonts w:ascii="Times New Roman" w:hAnsi="Times New Roman"/>
          <w:b/>
          <w:bCs/>
          <w:i w:val="false"/>
          <w:iCs w:val="false"/>
          <w:color w:val="000000"/>
          <w:spacing w:val="-2"/>
          <w:sz w:val="22"/>
          <w:szCs w:val="22"/>
          <w:shd w:fill="auto" w:val="clear"/>
        </w:rPr>
        <w:t>Pomieszczenia toalet:</w:t>
      </w:r>
    </w:p>
    <w:p>
      <w:pPr>
        <w:pStyle w:val="Akapitzlist"/>
        <w:numPr>
          <w:ilvl w:val="0"/>
          <w:numId w:val="44"/>
        </w:numPr>
        <w:tabs>
          <w:tab w:val="left" w:pos="800" w:leader="none"/>
        </w:tabs>
        <w:spacing w:before="132" w:after="0"/>
        <w:ind w:hanging="279" w:left="800" w:right="0"/>
        <w:rPr/>
      </w:pPr>
      <w:r>
        <w:rPr>
          <w:rStyle w:val="Domylnaczcionkaakapitu"/>
          <w:rFonts w:ascii="Times New Roman" w:hAnsi="Times New Roman"/>
          <w:i w:val="false"/>
          <w:iCs w:val="false"/>
          <w:color w:val="000000"/>
          <w:spacing w:val="-2"/>
          <w:w w:val="105"/>
          <w:sz w:val="22"/>
          <w:szCs w:val="22"/>
          <w:shd w:fill="auto" w:val="clear"/>
        </w:rPr>
        <w:t>Przestrzeń</w:t>
      </w:r>
      <w:r>
        <w:rPr>
          <w:rStyle w:val="Domylnaczcionkaakapitu"/>
          <w:rFonts w:ascii="Times New Roman" w:hAnsi="Times New Roman"/>
          <w:i w:val="false"/>
          <w:iCs w:val="false"/>
          <w:color w:val="000000"/>
          <w:spacing w:val="1"/>
          <w:w w:val="105"/>
          <w:sz w:val="22"/>
          <w:szCs w:val="22"/>
          <w:shd w:fill="auto" w:val="clear"/>
        </w:rPr>
        <w:t xml:space="preserve"> </w:t>
      </w:r>
      <w:r>
        <w:rPr>
          <w:rStyle w:val="Domylnaczcionkaakapitu"/>
          <w:rFonts w:ascii="Times New Roman" w:hAnsi="Times New Roman"/>
          <w:i w:val="false"/>
          <w:iCs w:val="false"/>
          <w:color w:val="000000"/>
          <w:spacing w:val="-2"/>
          <w:w w:val="105"/>
          <w:sz w:val="22"/>
          <w:szCs w:val="22"/>
          <w:shd w:fill="auto" w:val="clear"/>
        </w:rPr>
        <w:t>manewrowa:</w:t>
      </w:r>
    </w:p>
    <w:p>
      <w:pPr>
        <w:pStyle w:val="Akapitzlist"/>
        <w:numPr>
          <w:ilvl w:val="1"/>
          <w:numId w:val="18"/>
        </w:numPr>
        <w:tabs>
          <w:tab w:val="left" w:pos="1087" w:leader="none"/>
        </w:tabs>
        <w:suppressAutoHyphens w:val="true"/>
        <w:spacing w:before="182" w:after="0"/>
        <w:ind w:hanging="285" w:left="735" w:right="0"/>
        <w:rPr/>
      </w:pPr>
      <w:r>
        <w:rPr>
          <w:rStyle w:val="Domylnaczcionkaakapitu"/>
          <w:rFonts w:ascii="Times New Roman" w:hAnsi="Times New Roman"/>
          <w:i w:val="false"/>
          <w:iCs w:val="false"/>
          <w:color w:val="000000"/>
          <w:w w:val="105"/>
          <w:sz w:val="22"/>
          <w:szCs w:val="22"/>
          <w:shd w:fill="auto" w:val="clear"/>
        </w:rPr>
        <w:t>obszar</w:t>
      </w:r>
      <w:r>
        <w:rPr>
          <w:rStyle w:val="Domylnaczcionkaakapitu"/>
          <w:rFonts w:ascii="Times New Roman" w:hAnsi="Times New Roman"/>
          <w:i w:val="false"/>
          <w:iCs w:val="false"/>
          <w:color w:val="000000"/>
          <w:spacing w:val="-17"/>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manewrowy</w:t>
      </w:r>
      <w:r>
        <w:rPr>
          <w:rStyle w:val="Domylnaczcionkaakapitu"/>
          <w:rFonts w:ascii="Times New Roman" w:hAnsi="Times New Roman"/>
          <w:i w:val="false"/>
          <w:iCs w:val="false"/>
          <w:color w:val="000000"/>
          <w:spacing w:val="-5"/>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o</w:t>
      </w:r>
      <w:r>
        <w:rPr>
          <w:rStyle w:val="Domylnaczcionkaakapitu"/>
          <w:rFonts w:ascii="Times New Roman" w:hAnsi="Times New Roman"/>
          <w:i w:val="false"/>
          <w:iCs w:val="false"/>
          <w:color w:val="000000"/>
          <w:spacing w:val="-17"/>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minimalnych</w:t>
      </w:r>
      <w:r>
        <w:rPr>
          <w:rStyle w:val="Domylnaczcionkaakapitu"/>
          <w:rFonts w:ascii="Times New Roman" w:hAnsi="Times New Roman"/>
          <w:i w:val="false"/>
          <w:iCs w:val="false"/>
          <w:color w:val="000000"/>
          <w:spacing w:val="-6"/>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wymiarach</w:t>
      </w:r>
      <w:r>
        <w:rPr>
          <w:rStyle w:val="Domylnaczcionkaakapitu"/>
          <w:rFonts w:ascii="Times New Roman" w:hAnsi="Times New Roman"/>
          <w:i w:val="false"/>
          <w:iCs w:val="false"/>
          <w:color w:val="000000"/>
          <w:spacing w:val="-7"/>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150x150</w:t>
      </w:r>
      <w:r>
        <w:rPr>
          <w:rStyle w:val="Domylnaczcionkaakapitu"/>
          <w:rFonts w:ascii="Times New Roman" w:hAnsi="Times New Roman"/>
          <w:i w:val="false"/>
          <w:iCs w:val="false"/>
          <w:color w:val="000000"/>
          <w:spacing w:val="-12"/>
          <w:w w:val="105"/>
          <w:sz w:val="22"/>
          <w:szCs w:val="22"/>
          <w:shd w:fill="auto" w:val="clear"/>
        </w:rPr>
        <w:t xml:space="preserve"> </w:t>
      </w:r>
      <w:r>
        <w:rPr>
          <w:rStyle w:val="Domylnaczcionkaakapitu"/>
          <w:rFonts w:ascii="Times New Roman" w:hAnsi="Times New Roman"/>
          <w:i w:val="false"/>
          <w:iCs w:val="false"/>
          <w:color w:val="000000"/>
          <w:spacing w:val="-2"/>
          <w:w w:val="105"/>
          <w:sz w:val="22"/>
          <w:szCs w:val="22"/>
          <w:shd w:fill="auto" w:val="clear"/>
        </w:rPr>
        <w:t>cm,</w:t>
      </w:r>
    </w:p>
    <w:p>
      <w:pPr>
        <w:pStyle w:val="Akapitzlist"/>
        <w:numPr>
          <w:ilvl w:val="1"/>
          <w:numId w:val="18"/>
        </w:numPr>
        <w:tabs>
          <w:tab w:val="left" w:pos="1087" w:leader="none"/>
        </w:tabs>
        <w:suppressAutoHyphens w:val="true"/>
        <w:spacing w:before="182" w:after="0"/>
        <w:ind w:hanging="285" w:left="735" w:right="0"/>
        <w:rPr/>
      </w:pPr>
      <w:r>
        <w:rPr>
          <w:rStyle w:val="Domylnaczcionkaakapitu"/>
          <w:rFonts w:ascii="Times New Roman" w:hAnsi="Times New Roman"/>
          <w:i w:val="false"/>
          <w:iCs w:val="false"/>
          <w:color w:val="000000"/>
          <w:w w:val="105"/>
          <w:sz w:val="22"/>
          <w:szCs w:val="22"/>
          <w:shd w:fill="auto" w:val="clear"/>
        </w:rPr>
        <w:t>wszystkie</w:t>
      </w:r>
      <w:r>
        <w:rPr>
          <w:rStyle w:val="Domylnaczcionkaakapitu"/>
          <w:rFonts w:ascii="Times New Roman" w:hAnsi="Times New Roman"/>
          <w:i w:val="false"/>
          <w:iCs w:val="false"/>
          <w:color w:val="000000"/>
          <w:spacing w:val="-3"/>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odpływy</w:t>
      </w:r>
      <w:r>
        <w:rPr>
          <w:rStyle w:val="Domylnaczcionkaakapitu"/>
          <w:rFonts w:ascii="Times New Roman" w:hAnsi="Times New Roman"/>
          <w:i w:val="false"/>
          <w:iCs w:val="false"/>
          <w:color w:val="000000"/>
          <w:spacing w:val="-8"/>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wody</w:t>
      </w:r>
      <w:r>
        <w:rPr>
          <w:rStyle w:val="Domylnaczcionkaakapitu"/>
          <w:rFonts w:ascii="Times New Roman" w:hAnsi="Times New Roman"/>
          <w:i w:val="false"/>
          <w:iCs w:val="false"/>
          <w:color w:val="000000"/>
          <w:spacing w:val="-4"/>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z</w:t>
      </w:r>
      <w:r>
        <w:rPr>
          <w:rStyle w:val="Domylnaczcionkaakapitu"/>
          <w:rFonts w:ascii="Times New Roman" w:hAnsi="Times New Roman"/>
          <w:i w:val="false"/>
          <w:iCs w:val="false"/>
          <w:color w:val="000000"/>
          <w:spacing w:val="-15"/>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poziomu</w:t>
      </w:r>
      <w:r>
        <w:rPr>
          <w:rStyle w:val="Domylnaczcionkaakapitu"/>
          <w:rFonts w:ascii="Times New Roman" w:hAnsi="Times New Roman"/>
          <w:i w:val="false"/>
          <w:iCs w:val="false"/>
          <w:color w:val="000000"/>
          <w:spacing w:val="-6"/>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posadzki</w:t>
      </w:r>
      <w:r>
        <w:rPr>
          <w:rStyle w:val="Domylnaczcionkaakapitu"/>
          <w:rFonts w:ascii="Times New Roman" w:hAnsi="Times New Roman"/>
          <w:i w:val="false"/>
          <w:iCs w:val="false"/>
          <w:color w:val="000000"/>
          <w:spacing w:val="-5"/>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oraz</w:t>
      </w:r>
      <w:r>
        <w:rPr>
          <w:rStyle w:val="Domylnaczcionkaakapitu"/>
          <w:rFonts w:ascii="Times New Roman" w:hAnsi="Times New Roman"/>
          <w:i w:val="false"/>
          <w:iCs w:val="false"/>
          <w:color w:val="000000"/>
          <w:spacing w:val="-14"/>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kratki</w:t>
      </w:r>
      <w:r>
        <w:rPr>
          <w:rStyle w:val="Domylnaczcionkaakapitu"/>
          <w:rFonts w:ascii="Times New Roman" w:hAnsi="Times New Roman"/>
          <w:i w:val="false"/>
          <w:iCs w:val="false"/>
          <w:color w:val="000000"/>
          <w:spacing w:val="-15"/>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podłogowej</w:t>
      </w:r>
      <w:r>
        <w:rPr>
          <w:rStyle w:val="Domylnaczcionkaakapitu"/>
          <w:rFonts w:ascii="Times New Roman" w:hAnsi="Times New Roman"/>
          <w:i w:val="false"/>
          <w:iCs w:val="false"/>
          <w:color w:val="000000"/>
          <w:spacing w:val="-4"/>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znajdują</w:t>
      </w:r>
      <w:r>
        <w:rPr>
          <w:rStyle w:val="Domylnaczcionkaakapitu"/>
          <w:rFonts w:ascii="Times New Roman" w:hAnsi="Times New Roman"/>
          <w:i w:val="false"/>
          <w:iCs w:val="false"/>
          <w:color w:val="000000"/>
          <w:spacing w:val="-8"/>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się poza przestrzenią manewrową wózka.</w:t>
      </w:r>
    </w:p>
    <w:p>
      <w:pPr>
        <w:pStyle w:val="Akapitzlist"/>
        <w:numPr>
          <w:ilvl w:val="0"/>
          <w:numId w:val="18"/>
        </w:numPr>
        <w:tabs>
          <w:tab w:val="left" w:pos="878" w:leader="none"/>
        </w:tabs>
        <w:spacing w:before="120" w:after="0"/>
        <w:ind w:hanging="357" w:left="878" w:right="0"/>
        <w:rPr/>
      </w:pPr>
      <w:r>
        <w:rPr>
          <w:rStyle w:val="Domylnaczcionkaakapitu"/>
          <w:rFonts w:ascii="Times New Roman" w:hAnsi="Times New Roman"/>
          <w:i w:val="false"/>
          <w:iCs w:val="false"/>
          <w:color w:val="000000"/>
          <w:w w:val="105"/>
          <w:sz w:val="22"/>
          <w:szCs w:val="22"/>
          <w:shd w:fill="auto" w:val="clear"/>
        </w:rPr>
        <w:t>Powierzchnie</w:t>
      </w:r>
      <w:r>
        <w:rPr>
          <w:rStyle w:val="Domylnaczcionkaakapitu"/>
          <w:rFonts w:ascii="Times New Roman" w:hAnsi="Times New Roman"/>
          <w:i w:val="false"/>
          <w:iCs w:val="false"/>
          <w:color w:val="000000"/>
          <w:spacing w:val="-3"/>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ścian</w:t>
      </w:r>
      <w:r>
        <w:rPr>
          <w:rStyle w:val="Domylnaczcionkaakapitu"/>
          <w:rFonts w:ascii="Times New Roman" w:hAnsi="Times New Roman"/>
          <w:i w:val="false"/>
          <w:iCs w:val="false"/>
          <w:color w:val="000000"/>
          <w:spacing w:val="-12"/>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i</w:t>
      </w:r>
      <w:r>
        <w:rPr>
          <w:rStyle w:val="Domylnaczcionkaakapitu"/>
          <w:rFonts w:ascii="Times New Roman" w:hAnsi="Times New Roman"/>
          <w:i w:val="false"/>
          <w:iCs w:val="false"/>
          <w:color w:val="000000"/>
          <w:spacing w:val="-17"/>
          <w:w w:val="105"/>
          <w:sz w:val="22"/>
          <w:szCs w:val="22"/>
          <w:shd w:fill="auto" w:val="clear"/>
        </w:rPr>
        <w:t xml:space="preserve"> </w:t>
      </w:r>
      <w:r>
        <w:rPr>
          <w:rStyle w:val="Domylnaczcionkaakapitu"/>
          <w:rFonts w:ascii="Times New Roman" w:hAnsi="Times New Roman"/>
          <w:i w:val="false"/>
          <w:iCs w:val="false"/>
          <w:color w:val="000000"/>
          <w:spacing w:val="-2"/>
          <w:w w:val="105"/>
          <w:sz w:val="22"/>
          <w:szCs w:val="22"/>
          <w:shd w:fill="auto" w:val="clear"/>
        </w:rPr>
        <w:t>podłóg:</w:t>
      </w:r>
    </w:p>
    <w:p>
      <w:pPr>
        <w:pStyle w:val="Akapitzlist"/>
        <w:numPr>
          <w:ilvl w:val="1"/>
          <w:numId w:val="18"/>
        </w:numPr>
        <w:tabs>
          <w:tab w:val="left" w:pos="1085" w:leader="none"/>
          <w:tab w:val="left" w:pos="1087" w:leader="none"/>
          <w:tab w:val="left" w:pos="2452" w:leader="none"/>
        </w:tabs>
        <w:suppressAutoHyphens w:val="true"/>
        <w:spacing w:lineRule="auto" w:line="288" w:before="187" w:after="0"/>
        <w:ind w:hanging="600" w:left="1087" w:right="1559"/>
        <w:rPr/>
      </w:pPr>
      <w:r>
        <w:rPr>
          <w:rStyle w:val="Domylnaczcionkaakapitu"/>
          <w:rFonts w:ascii="Times New Roman" w:hAnsi="Times New Roman"/>
          <w:i w:val="false"/>
          <w:iCs w:val="false"/>
          <w:color w:val="000000"/>
          <w:w w:val="105"/>
          <w:sz w:val="22"/>
          <w:szCs w:val="22"/>
          <w:shd w:fill="auto" w:val="clear"/>
        </w:rPr>
        <w:t xml:space="preserve">zabrania się </w:t>
      </w:r>
      <w:r>
        <w:rPr>
          <w:rStyle w:val="Domylnaczcionkaakapitu"/>
          <w:rFonts w:ascii="Times New Roman" w:hAnsi="Times New Roman"/>
          <w:i w:val="false"/>
          <w:iCs w:val="false"/>
          <w:color w:val="000000"/>
          <w:spacing w:val="-2"/>
          <w:w w:val="105"/>
          <w:sz w:val="22"/>
          <w:szCs w:val="22"/>
          <w:shd w:fill="auto" w:val="clear"/>
        </w:rPr>
        <w:t>stosowania powierzchni połyskliwych,</w:t>
      </w:r>
      <w:r>
        <w:rPr>
          <w:rStyle w:val="Domylnaczcionkaakapitu"/>
          <w:rFonts w:ascii="Times New Roman" w:hAnsi="Times New Roman"/>
          <w:i w:val="false"/>
          <w:iCs w:val="false"/>
          <w:color w:val="000000"/>
          <w:spacing w:val="13"/>
          <w:w w:val="105"/>
          <w:sz w:val="22"/>
          <w:szCs w:val="22"/>
          <w:shd w:fill="auto" w:val="clear"/>
        </w:rPr>
        <w:t xml:space="preserve"> </w:t>
      </w:r>
      <w:r>
        <w:rPr>
          <w:rStyle w:val="Domylnaczcionkaakapitu"/>
          <w:rFonts w:ascii="Times New Roman" w:hAnsi="Times New Roman"/>
          <w:i w:val="false"/>
          <w:iCs w:val="false"/>
          <w:color w:val="000000"/>
          <w:spacing w:val="-2"/>
          <w:w w:val="105"/>
          <w:sz w:val="22"/>
          <w:szCs w:val="22"/>
          <w:shd w:fill="auto" w:val="clear"/>
        </w:rPr>
        <w:t>powodujących zjawisko olśnienia,</w:t>
      </w:r>
    </w:p>
    <w:p>
      <w:pPr>
        <w:pStyle w:val="Akapitzlist"/>
        <w:numPr>
          <w:ilvl w:val="1"/>
          <w:numId w:val="18"/>
        </w:numPr>
        <w:tabs>
          <w:tab w:val="left" w:pos="1086" w:leader="none"/>
        </w:tabs>
        <w:suppressAutoHyphens w:val="true"/>
        <w:spacing w:lineRule="auto" w:line="288" w:before="135" w:after="0"/>
        <w:ind w:hanging="555" w:left="1086" w:right="1050"/>
        <w:rPr/>
      </w:pPr>
      <w:r>
        <w:rPr>
          <w:rStyle w:val="Domylnaczcionkaakapitu"/>
          <w:rFonts w:ascii="Times New Roman" w:hAnsi="Times New Roman"/>
          <w:i w:val="false"/>
          <w:iCs w:val="false"/>
          <w:color w:val="000000"/>
          <w:w w:val="105"/>
          <w:sz w:val="22"/>
          <w:szCs w:val="22"/>
          <w:shd w:fill="auto" w:val="clear"/>
        </w:rPr>
        <w:t>ściany</w:t>
      </w:r>
      <w:r>
        <w:rPr>
          <w:rStyle w:val="Domylnaczcionkaakapitu"/>
          <w:rFonts w:ascii="Times New Roman" w:hAnsi="Times New Roman"/>
          <w:i w:val="false"/>
          <w:iCs w:val="false"/>
          <w:color w:val="000000"/>
          <w:spacing w:val="-8"/>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i</w:t>
      </w:r>
      <w:r>
        <w:rPr>
          <w:rStyle w:val="Domylnaczcionkaakapitu"/>
          <w:rFonts w:ascii="Times New Roman" w:hAnsi="Times New Roman"/>
          <w:i w:val="false"/>
          <w:iCs w:val="false"/>
          <w:color w:val="000000"/>
          <w:spacing w:val="-16"/>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podłogi</w:t>
      </w:r>
      <w:r>
        <w:rPr>
          <w:rStyle w:val="Domylnaczcionkaakapitu"/>
          <w:rFonts w:ascii="Times New Roman" w:hAnsi="Times New Roman"/>
          <w:i w:val="false"/>
          <w:iCs w:val="false"/>
          <w:color w:val="000000"/>
          <w:spacing w:val="-6"/>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są</w:t>
      </w:r>
      <w:r>
        <w:rPr>
          <w:rStyle w:val="Domylnaczcionkaakapitu"/>
          <w:rFonts w:ascii="Times New Roman" w:hAnsi="Times New Roman"/>
          <w:i w:val="false"/>
          <w:iCs w:val="false"/>
          <w:color w:val="000000"/>
          <w:spacing w:val="-17"/>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ze</w:t>
      </w:r>
      <w:r>
        <w:rPr>
          <w:rStyle w:val="Domylnaczcionkaakapitu"/>
          <w:rFonts w:ascii="Times New Roman" w:hAnsi="Times New Roman"/>
          <w:i w:val="false"/>
          <w:iCs w:val="false"/>
          <w:color w:val="000000"/>
          <w:spacing w:val="-14"/>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sobą</w:t>
      </w:r>
      <w:r>
        <w:rPr>
          <w:rStyle w:val="Domylnaczcionkaakapitu"/>
          <w:rFonts w:ascii="Times New Roman" w:hAnsi="Times New Roman"/>
          <w:i w:val="false"/>
          <w:iCs w:val="false"/>
          <w:color w:val="000000"/>
          <w:spacing w:val="-16"/>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skontrastowane.</w:t>
      </w:r>
    </w:p>
    <w:p>
      <w:pPr>
        <w:pStyle w:val="Akapitzlist"/>
        <w:numPr>
          <w:ilvl w:val="0"/>
          <w:numId w:val="18"/>
        </w:numPr>
        <w:tabs>
          <w:tab w:val="left" w:pos="877" w:leader="none"/>
        </w:tabs>
        <w:spacing w:before="113" w:after="0"/>
        <w:ind w:hanging="355" w:left="877" w:right="0"/>
        <w:rPr/>
      </w:pPr>
      <w:r>
        <w:rPr>
          <w:rStyle w:val="Domylnaczcionkaakapitu"/>
          <w:rFonts w:ascii="Times New Roman" w:hAnsi="Times New Roman"/>
          <w:i w:val="false"/>
          <w:iCs w:val="false"/>
          <w:color w:val="000000"/>
          <w:w w:val="105"/>
          <w:sz w:val="22"/>
          <w:szCs w:val="22"/>
          <w:shd w:fill="auto" w:val="clear"/>
        </w:rPr>
        <w:t>Podłogi</w:t>
      </w:r>
      <w:r>
        <w:rPr>
          <w:rStyle w:val="Domylnaczcionkaakapitu"/>
          <w:rFonts w:ascii="Times New Roman" w:hAnsi="Times New Roman"/>
          <w:i w:val="false"/>
          <w:iCs w:val="false"/>
          <w:color w:val="000000"/>
          <w:spacing w:val="-17"/>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i</w:t>
      </w:r>
      <w:r>
        <w:rPr>
          <w:rStyle w:val="Domylnaczcionkaakapitu"/>
          <w:rFonts w:ascii="Times New Roman" w:hAnsi="Times New Roman"/>
          <w:i w:val="false"/>
          <w:iCs w:val="false"/>
          <w:color w:val="000000"/>
          <w:spacing w:val="-17"/>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posadzki</w:t>
      </w:r>
      <w:r>
        <w:rPr>
          <w:rStyle w:val="Domylnaczcionkaakapitu"/>
          <w:rFonts w:ascii="Times New Roman" w:hAnsi="Times New Roman"/>
          <w:i w:val="false"/>
          <w:iCs w:val="false"/>
          <w:color w:val="000000"/>
          <w:spacing w:val="-17"/>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w</w:t>
      </w:r>
      <w:r>
        <w:rPr>
          <w:rStyle w:val="Domylnaczcionkaakapitu"/>
          <w:rFonts w:ascii="Times New Roman" w:hAnsi="Times New Roman"/>
          <w:i w:val="false"/>
          <w:iCs w:val="false"/>
          <w:color w:val="000000"/>
          <w:spacing w:val="-17"/>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toaletach</w:t>
      </w:r>
      <w:r>
        <w:rPr>
          <w:rStyle w:val="Domylnaczcionkaakapitu"/>
          <w:rFonts w:ascii="Times New Roman" w:hAnsi="Times New Roman"/>
          <w:i w:val="false"/>
          <w:iCs w:val="false"/>
          <w:color w:val="000000"/>
          <w:spacing w:val="-16"/>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są</w:t>
      </w:r>
      <w:r>
        <w:rPr>
          <w:rStyle w:val="Domylnaczcionkaakapitu"/>
          <w:rFonts w:ascii="Times New Roman" w:hAnsi="Times New Roman"/>
          <w:i w:val="false"/>
          <w:iCs w:val="false"/>
          <w:color w:val="000000"/>
          <w:spacing w:val="-17"/>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wykonane</w:t>
      </w:r>
      <w:r>
        <w:rPr>
          <w:rStyle w:val="Domylnaczcionkaakapitu"/>
          <w:rFonts w:ascii="Times New Roman" w:hAnsi="Times New Roman"/>
          <w:i w:val="false"/>
          <w:iCs w:val="false"/>
          <w:color w:val="000000"/>
          <w:spacing w:val="-10"/>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z</w:t>
      </w:r>
      <w:r>
        <w:rPr>
          <w:rStyle w:val="Domylnaczcionkaakapitu"/>
          <w:rFonts w:ascii="Times New Roman" w:hAnsi="Times New Roman"/>
          <w:i w:val="false"/>
          <w:iCs w:val="false"/>
          <w:color w:val="000000"/>
          <w:spacing w:val="-17"/>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materiałów</w:t>
      </w:r>
      <w:r>
        <w:rPr>
          <w:rStyle w:val="Domylnaczcionkaakapitu"/>
          <w:rFonts w:ascii="Times New Roman" w:hAnsi="Times New Roman"/>
          <w:i w:val="false"/>
          <w:iCs w:val="false"/>
          <w:color w:val="000000"/>
          <w:spacing w:val="-13"/>
          <w:w w:val="105"/>
          <w:sz w:val="22"/>
          <w:szCs w:val="22"/>
          <w:shd w:fill="auto" w:val="clear"/>
        </w:rPr>
        <w:t xml:space="preserve"> </w:t>
      </w:r>
      <w:r>
        <w:rPr>
          <w:rStyle w:val="Domylnaczcionkaakapitu"/>
          <w:rFonts w:ascii="Times New Roman" w:hAnsi="Times New Roman"/>
          <w:i w:val="false"/>
          <w:iCs w:val="false"/>
          <w:color w:val="000000"/>
          <w:spacing w:val="-2"/>
          <w:w w:val="105"/>
          <w:sz w:val="22"/>
          <w:szCs w:val="22"/>
          <w:shd w:fill="auto" w:val="clear"/>
        </w:rPr>
        <w:t>antypoślizgowych.</w:t>
      </w:r>
    </w:p>
    <w:p>
      <w:pPr>
        <w:pStyle w:val="Akapitzlist"/>
        <w:numPr>
          <w:ilvl w:val="0"/>
          <w:numId w:val="18"/>
        </w:numPr>
        <w:tabs>
          <w:tab w:val="left" w:pos="879" w:leader="none"/>
          <w:tab w:val="left" w:pos="4102" w:leader="none"/>
        </w:tabs>
        <w:spacing w:before="173" w:after="0"/>
        <w:ind w:hanging="359" w:left="879" w:right="0"/>
        <w:rPr/>
      </w:pPr>
      <w:r>
        <w:rPr>
          <w:rStyle w:val="Domylnaczcionkaakapitu"/>
          <w:rFonts w:ascii="Times New Roman" w:hAnsi="Times New Roman"/>
          <w:i w:val="false"/>
          <w:iCs w:val="false"/>
          <w:color w:val="000000"/>
          <w:sz w:val="22"/>
          <w:szCs w:val="22"/>
          <w:shd w:fill="auto" w:val="clear"/>
        </w:rPr>
        <w:t>Włączniki</w:t>
      </w:r>
      <w:r>
        <w:rPr>
          <w:rStyle w:val="Domylnaczcionkaakapitu"/>
          <w:rFonts w:ascii="Times New Roman" w:hAnsi="Times New Roman"/>
          <w:i w:val="false"/>
          <w:iCs w:val="false"/>
          <w:color w:val="000000"/>
          <w:spacing w:val="14"/>
          <w:sz w:val="22"/>
          <w:szCs w:val="22"/>
          <w:shd w:fill="auto" w:val="clear"/>
        </w:rPr>
        <w:t xml:space="preserve"> </w:t>
      </w:r>
      <w:r>
        <w:rPr>
          <w:rStyle w:val="Domylnaczcionkaakapitu"/>
          <w:rFonts w:ascii="Times New Roman" w:hAnsi="Times New Roman"/>
          <w:i w:val="false"/>
          <w:iCs w:val="false"/>
          <w:color w:val="000000"/>
          <w:sz w:val="22"/>
          <w:szCs w:val="22"/>
          <w:shd w:fill="auto" w:val="clear"/>
        </w:rPr>
        <w:t>światła</w:t>
      </w:r>
      <w:r>
        <w:rPr>
          <w:rStyle w:val="Domylnaczcionkaakapitu"/>
          <w:rFonts w:ascii="Times New Roman" w:hAnsi="Times New Roman"/>
          <w:i w:val="false"/>
          <w:iCs w:val="false"/>
          <w:color w:val="000000"/>
          <w:spacing w:val="17"/>
          <w:sz w:val="22"/>
          <w:szCs w:val="22"/>
          <w:shd w:fill="auto" w:val="clear"/>
        </w:rPr>
        <w:t xml:space="preserve"> </w:t>
      </w:r>
      <w:r>
        <w:rPr>
          <w:rStyle w:val="Domylnaczcionkaakapitu"/>
          <w:rFonts w:ascii="Times New Roman" w:hAnsi="Times New Roman"/>
          <w:i w:val="false"/>
          <w:iCs w:val="false"/>
          <w:color w:val="000000"/>
          <w:sz w:val="22"/>
          <w:szCs w:val="22"/>
          <w:shd w:fill="auto" w:val="clear"/>
        </w:rPr>
        <w:t>znajdują</w:t>
      </w:r>
      <w:r>
        <w:rPr>
          <w:rStyle w:val="Domylnaczcionkaakapitu"/>
          <w:rFonts w:ascii="Times New Roman" w:hAnsi="Times New Roman"/>
          <w:i w:val="false"/>
          <w:iCs w:val="false"/>
          <w:color w:val="000000"/>
          <w:spacing w:val="3"/>
          <w:sz w:val="22"/>
          <w:szCs w:val="22"/>
          <w:shd w:fill="auto" w:val="clear"/>
        </w:rPr>
        <w:t xml:space="preserve"> </w:t>
      </w:r>
      <w:r>
        <w:rPr>
          <w:rStyle w:val="Domylnaczcionkaakapitu"/>
          <w:rFonts w:ascii="Times New Roman" w:hAnsi="Times New Roman"/>
          <w:i w:val="false"/>
          <w:iCs w:val="false"/>
          <w:color w:val="000000"/>
          <w:spacing w:val="-5"/>
          <w:sz w:val="22"/>
          <w:szCs w:val="22"/>
          <w:shd w:fill="auto" w:val="clear"/>
        </w:rPr>
        <w:t xml:space="preserve">się </w:t>
      </w:r>
      <w:r>
        <w:rPr>
          <w:rStyle w:val="Domylnaczcionkaakapitu"/>
          <w:rFonts w:ascii="Times New Roman" w:hAnsi="Times New Roman"/>
          <w:i w:val="false"/>
          <w:iCs w:val="false"/>
          <w:color w:val="000000"/>
          <w:sz w:val="22"/>
          <w:szCs w:val="22"/>
          <w:shd w:fill="auto" w:val="clear"/>
        </w:rPr>
        <w:t>na</w:t>
      </w:r>
      <w:r>
        <w:rPr>
          <w:rStyle w:val="Domylnaczcionkaakapitu"/>
          <w:rFonts w:ascii="Times New Roman" w:hAnsi="Times New Roman"/>
          <w:i w:val="false"/>
          <w:iCs w:val="false"/>
          <w:color w:val="000000"/>
          <w:spacing w:val="20"/>
          <w:sz w:val="22"/>
          <w:szCs w:val="22"/>
          <w:shd w:fill="auto" w:val="clear"/>
        </w:rPr>
        <w:t xml:space="preserve"> </w:t>
      </w:r>
      <w:r>
        <w:rPr>
          <w:rStyle w:val="Domylnaczcionkaakapitu"/>
          <w:rFonts w:ascii="Times New Roman" w:hAnsi="Times New Roman"/>
          <w:i w:val="false"/>
          <w:iCs w:val="false"/>
          <w:color w:val="000000"/>
          <w:sz w:val="22"/>
          <w:szCs w:val="22"/>
          <w:shd w:fill="auto" w:val="clear"/>
        </w:rPr>
        <w:t>wysokości</w:t>
      </w:r>
      <w:r>
        <w:rPr>
          <w:rStyle w:val="Domylnaczcionkaakapitu"/>
          <w:rFonts w:ascii="Times New Roman" w:hAnsi="Times New Roman"/>
          <w:i w:val="false"/>
          <w:iCs w:val="false"/>
          <w:color w:val="000000"/>
          <w:spacing w:val="29"/>
          <w:sz w:val="22"/>
          <w:szCs w:val="22"/>
          <w:shd w:fill="auto" w:val="clear"/>
        </w:rPr>
        <w:t xml:space="preserve"> </w:t>
      </w:r>
      <w:r>
        <w:rPr>
          <w:rStyle w:val="Domylnaczcionkaakapitu"/>
          <w:rFonts w:ascii="Times New Roman" w:hAnsi="Times New Roman"/>
          <w:i w:val="false"/>
          <w:iCs w:val="false"/>
          <w:color w:val="000000"/>
          <w:sz w:val="22"/>
          <w:szCs w:val="22"/>
          <w:shd w:fill="auto" w:val="clear"/>
        </w:rPr>
        <w:t>80-110</w:t>
      </w:r>
      <w:r>
        <w:rPr>
          <w:rStyle w:val="Domylnaczcionkaakapitu"/>
          <w:rFonts w:ascii="Times New Roman" w:hAnsi="Times New Roman"/>
          <w:i w:val="false"/>
          <w:iCs w:val="false"/>
          <w:color w:val="000000"/>
          <w:spacing w:val="30"/>
          <w:sz w:val="22"/>
          <w:szCs w:val="22"/>
          <w:shd w:fill="auto" w:val="clear"/>
        </w:rPr>
        <w:t xml:space="preserve"> </w:t>
      </w:r>
      <w:r>
        <w:rPr>
          <w:rStyle w:val="Domylnaczcionkaakapitu"/>
          <w:rFonts w:ascii="Times New Roman" w:hAnsi="Times New Roman"/>
          <w:i w:val="false"/>
          <w:iCs w:val="false"/>
          <w:color w:val="000000"/>
          <w:sz w:val="22"/>
          <w:szCs w:val="22"/>
          <w:shd w:fill="auto" w:val="clear"/>
        </w:rPr>
        <w:t>cm</w:t>
      </w:r>
      <w:r>
        <w:rPr>
          <w:rStyle w:val="Domylnaczcionkaakapitu"/>
          <w:rFonts w:ascii="Times New Roman" w:hAnsi="Times New Roman"/>
          <w:i w:val="false"/>
          <w:iCs w:val="false"/>
          <w:color w:val="000000"/>
          <w:spacing w:val="19"/>
          <w:sz w:val="22"/>
          <w:szCs w:val="22"/>
          <w:shd w:fill="auto" w:val="clear"/>
        </w:rPr>
        <w:t xml:space="preserve"> </w:t>
      </w:r>
      <w:r>
        <w:rPr>
          <w:rStyle w:val="Domylnaczcionkaakapitu"/>
          <w:rFonts w:ascii="Times New Roman" w:hAnsi="Times New Roman"/>
          <w:i w:val="false"/>
          <w:iCs w:val="false"/>
          <w:color w:val="000000"/>
          <w:sz w:val="22"/>
          <w:szCs w:val="22"/>
          <w:shd w:fill="auto" w:val="clear"/>
        </w:rPr>
        <w:t>od</w:t>
      </w:r>
      <w:r>
        <w:rPr>
          <w:rStyle w:val="Domylnaczcionkaakapitu"/>
          <w:rFonts w:ascii="Times New Roman" w:hAnsi="Times New Roman"/>
          <w:i w:val="false"/>
          <w:iCs w:val="false"/>
          <w:color w:val="000000"/>
          <w:spacing w:val="17"/>
          <w:sz w:val="22"/>
          <w:szCs w:val="22"/>
          <w:shd w:fill="auto" w:val="clear"/>
        </w:rPr>
        <w:t xml:space="preserve"> </w:t>
      </w:r>
      <w:r>
        <w:rPr>
          <w:rStyle w:val="Domylnaczcionkaakapitu"/>
          <w:rFonts w:ascii="Times New Roman" w:hAnsi="Times New Roman"/>
          <w:i w:val="false"/>
          <w:iCs w:val="false"/>
          <w:color w:val="000000"/>
          <w:sz w:val="22"/>
          <w:szCs w:val="22"/>
          <w:shd w:fill="auto" w:val="clear"/>
        </w:rPr>
        <w:t>poziomu</w:t>
      </w:r>
      <w:r>
        <w:rPr>
          <w:rStyle w:val="Domylnaczcionkaakapitu"/>
          <w:rFonts w:ascii="Times New Roman" w:hAnsi="Times New Roman"/>
          <w:i w:val="false"/>
          <w:iCs w:val="false"/>
          <w:color w:val="000000"/>
          <w:spacing w:val="25"/>
          <w:sz w:val="22"/>
          <w:szCs w:val="22"/>
          <w:shd w:fill="auto" w:val="clear"/>
        </w:rPr>
        <w:t xml:space="preserve"> </w:t>
      </w:r>
      <w:r>
        <w:rPr>
          <w:rStyle w:val="Domylnaczcionkaakapitu"/>
          <w:rFonts w:ascii="Times New Roman" w:hAnsi="Times New Roman"/>
          <w:i w:val="false"/>
          <w:iCs w:val="false"/>
          <w:color w:val="000000"/>
          <w:spacing w:val="-2"/>
          <w:sz w:val="22"/>
          <w:szCs w:val="22"/>
          <w:shd w:fill="auto" w:val="clear"/>
        </w:rPr>
        <w:t>posadzki.</w:t>
      </w:r>
    </w:p>
    <w:p>
      <w:pPr>
        <w:pStyle w:val="Akapitzlist"/>
        <w:numPr>
          <w:ilvl w:val="0"/>
          <w:numId w:val="18"/>
        </w:numPr>
        <w:tabs>
          <w:tab w:val="left" w:pos="876" w:leader="none"/>
          <w:tab w:val="left" w:pos="880" w:leader="none"/>
          <w:tab w:val="left" w:pos="2274" w:leader="none"/>
          <w:tab w:val="left" w:pos="3449" w:leader="none"/>
        </w:tabs>
        <w:spacing w:lineRule="auto" w:line="288" w:before="173" w:after="0"/>
        <w:ind w:hanging="358" w:left="880" w:right="1027"/>
        <w:rPr/>
      </w:pPr>
      <w:r>
        <w:rPr>
          <w:rStyle w:val="Domylnaczcionkaakapitu"/>
          <w:rFonts w:ascii="Times New Roman" w:hAnsi="Times New Roman"/>
          <w:i w:val="false"/>
          <w:iCs w:val="false"/>
          <w:color w:val="000000"/>
          <w:w w:val="105"/>
          <w:sz w:val="22"/>
          <w:szCs w:val="22"/>
          <w:shd w:fill="auto" w:val="clear"/>
        </w:rPr>
        <w:t>Toaleta będzie ogólnodostępna i nie zamykana na klucz od zewnątrz</w:t>
      </w:r>
    </w:p>
    <w:p>
      <w:pPr>
        <w:pStyle w:val="Akapitzlist"/>
        <w:numPr>
          <w:ilvl w:val="0"/>
          <w:numId w:val="18"/>
        </w:numPr>
        <w:tabs>
          <w:tab w:val="left" w:pos="876" w:leader="none"/>
          <w:tab w:val="left" w:pos="880" w:leader="none"/>
          <w:tab w:val="left" w:pos="2274" w:leader="none"/>
          <w:tab w:val="left" w:pos="3449" w:leader="none"/>
        </w:tabs>
        <w:spacing w:lineRule="auto" w:line="288" w:before="173" w:after="0"/>
        <w:ind w:hanging="358" w:left="880" w:right="1027"/>
        <w:rPr/>
      </w:pPr>
      <w:r>
        <w:rPr>
          <w:rStyle w:val="Domylnaczcionkaakapitu"/>
          <w:rFonts w:ascii="Times New Roman" w:hAnsi="Times New Roman"/>
          <w:i w:val="false"/>
          <w:iCs w:val="false"/>
          <w:color w:val="000000"/>
          <w:w w:val="105"/>
          <w:sz w:val="22"/>
          <w:szCs w:val="22"/>
          <w:shd w:fill="auto" w:val="clear"/>
        </w:rPr>
        <w:t>Projektuje się wyposażenie toalety w wieszaki na ubrania/bagaż – przynajmniej jeden na wysokości około 180cm i przynajmniej jeden na wysokości około 110cm.</w:t>
      </w:r>
    </w:p>
    <w:p>
      <w:pPr>
        <w:pStyle w:val="Normal"/>
        <w:numPr>
          <w:ilvl w:val="0"/>
          <w:numId w:val="18"/>
        </w:numPr>
        <w:tabs>
          <w:tab w:val="clear" w:pos="708"/>
          <w:tab w:val="left" w:pos="876" w:leader="none"/>
          <w:tab w:val="left" w:pos="880" w:leader="none"/>
          <w:tab w:val="left" w:pos="2274" w:leader="none"/>
          <w:tab w:val="left" w:pos="3449" w:leader="none"/>
        </w:tabs>
        <w:spacing w:lineRule="auto" w:line="288" w:before="173" w:after="0"/>
        <w:ind w:hanging="358" w:left="880" w:right="1027"/>
        <w:rPr/>
      </w:pPr>
      <w:r>
        <w:rPr>
          <w:rStyle w:val="Domylnaczcionkaakapitu"/>
          <w:rFonts w:eastAsia="CIDFont+F5" w:cs="CIDFont+F5"/>
          <w:i w:val="false"/>
          <w:iCs w:val="false"/>
          <w:color w:val="000000"/>
          <w:w w:val="105"/>
          <w:sz w:val="22"/>
          <w:szCs w:val="22"/>
          <w:shd w:fill="auto" w:val="clear"/>
        </w:rPr>
        <w:t xml:space="preserve">- </w:t>
      </w:r>
      <w:r>
        <w:rPr>
          <w:rFonts w:eastAsia="CIDFont+F4" w:cs="CIDFont+F4"/>
          <w:color w:val="000000"/>
          <w:sz w:val="22"/>
          <w:szCs w:val="22"/>
          <w:shd w:fill="auto" w:val="clear"/>
        </w:rPr>
        <w:t xml:space="preserve"> wszystkie drzwi prowadzące do toalet powinny być kontrastowo oznaczone poprzez wykonanie całej powierzchni w kolorze kontrastującym z kolorem ściany (LRV &gt; 30), lub oznaczenie ościeżnic w kolorze skontrastowanym z kolorem ściany (LRV &gt; 30),</w:t>
      </w:r>
      <w:r>
        <w:rPr>
          <w:rFonts w:eastAsia="CIDFont+F5" w:cs="CIDFont+F5"/>
          <w:color w:val="000000"/>
          <w:sz w:val="22"/>
          <w:szCs w:val="22"/>
          <w:shd w:fill="auto" w:val="clear"/>
        </w:rPr>
        <w:t xml:space="preserve"> </w:t>
      </w:r>
    </w:p>
    <w:p>
      <w:pPr>
        <w:pStyle w:val="Normal"/>
        <w:widowControl w:val="false"/>
        <w:numPr>
          <w:ilvl w:val="0"/>
          <w:numId w:val="0"/>
        </w:numPr>
        <w:tabs>
          <w:tab w:val="clear" w:pos="708"/>
          <w:tab w:val="left" w:pos="876" w:leader="none"/>
          <w:tab w:val="left" w:pos="880" w:leader="none"/>
          <w:tab w:val="left" w:pos="2274" w:leader="none"/>
          <w:tab w:val="left" w:pos="3449" w:leader="none"/>
        </w:tabs>
        <w:suppressAutoHyphens w:val="true"/>
        <w:bidi w:val="0"/>
        <w:spacing w:lineRule="auto" w:line="288" w:before="173" w:after="0"/>
        <w:ind w:hanging="0" w:left="510" w:right="850"/>
        <w:rPr>
          <w:color w:val="000000"/>
        </w:rPr>
      </w:pPr>
      <w:r>
        <w:rPr>
          <w:rFonts w:eastAsia="CIDFont+F5" w:cs="CIDFont+F5"/>
          <w:color w:val="000000"/>
          <w:sz w:val="22"/>
          <w:szCs w:val="22"/>
          <w:shd w:fill="auto" w:val="clear"/>
        </w:rPr>
        <w:t xml:space="preserve">   </w:t>
      </w:r>
      <w:r>
        <w:rPr>
          <w:rFonts w:eastAsia="CIDFont+F5" w:cs="CIDFont+F5"/>
          <w:color w:val="000000"/>
          <w:sz w:val="22"/>
          <w:szCs w:val="22"/>
          <w:shd w:fill="auto" w:val="clear"/>
        </w:rPr>
        <w:t xml:space="preserve">- </w:t>
      </w:r>
      <w:r>
        <w:rPr>
          <w:rFonts w:eastAsia="CIDFont+F4" w:cs="CIDFont+F4"/>
          <w:color w:val="000000"/>
          <w:sz w:val="22"/>
          <w:szCs w:val="22"/>
          <w:shd w:fill="auto" w:val="clear"/>
        </w:rPr>
        <w:t>klamki powinny wyróżniać się na tle drzwi,</w:t>
      </w:r>
      <w:r>
        <w:rPr>
          <w:rFonts w:eastAsia="CIDFont+F4" w:cs="CIDFont+F4"/>
          <w:b w:val="false"/>
          <w:i w:val="false"/>
          <w:caps w:val="false"/>
          <w:smallCaps w:val="false"/>
          <w:color w:val="000000"/>
          <w:spacing w:val="0"/>
          <w:sz w:val="22"/>
          <w:szCs w:val="22"/>
          <w:shd w:fill="auto" w:val="clear"/>
        </w:rPr>
        <w:t>- klamka w kształcie litery "L" lub "C",</w:t>
      </w:r>
      <w:r>
        <w:rPr>
          <w:rFonts w:eastAsia="CIDFont+F4" w:cs="CIDFont+F4"/>
          <w:color w:val="000000"/>
          <w:sz w:val="22"/>
          <w:szCs w:val="22"/>
          <w:shd w:fill="auto" w:val="clear"/>
        </w:rPr>
        <w:t xml:space="preserve"> </w:t>
        <w:tab/>
      </w:r>
    </w:p>
    <w:p>
      <w:pPr>
        <w:pStyle w:val="Normal"/>
        <w:ind w:hanging="0" w:left="0"/>
        <w:jc w:val="left"/>
        <w:rPr>
          <w:color w:val="000000"/>
        </w:rPr>
      </w:pPr>
      <w:r>
        <w:rPr>
          <w:rFonts w:eastAsia="CIDFont+F4" w:cs="CIDFont+F4"/>
          <w:color w:val="000000"/>
          <w:sz w:val="22"/>
          <w:szCs w:val="22"/>
          <w:shd w:fill="auto" w:val="clear"/>
        </w:rPr>
        <w:tab/>
        <w:t xml:space="preserve">- drzwi </w:t>
        <w:tab/>
        <w:t>powinny być oznaczone widocznym piktogramem</w:t>
      </w:r>
    </w:p>
    <w:p>
      <w:pPr>
        <w:pStyle w:val="Normal"/>
        <w:ind w:hanging="0" w:left="0"/>
        <w:jc w:val="left"/>
        <w:rPr>
          <w:color w:val="000000"/>
        </w:rPr>
      </w:pPr>
      <w:r>
        <w:rPr>
          <w:rFonts w:eastAsia="CIDFont+F4" w:cs="CIDFont+F4"/>
          <w:color w:val="000000"/>
          <w:sz w:val="22"/>
          <w:szCs w:val="22"/>
          <w:shd w:fill="auto" w:val="clear"/>
        </w:rPr>
        <w:t xml:space="preserve">        </w:t>
      </w:r>
      <w:r>
        <w:rPr>
          <w:rFonts w:eastAsia="CIDFont+F4" w:cs="CIDFont+F4"/>
          <w:color w:val="000000"/>
          <w:sz w:val="22"/>
          <w:szCs w:val="22"/>
          <w:shd w:fill="auto" w:val="clear"/>
        </w:rPr>
        <w:tab/>
        <w:t>- ręczne otwieranie i zamykanie drzwi toalety nie powinno wymagać siły</w:t>
      </w:r>
    </w:p>
    <w:p>
      <w:pPr>
        <w:pStyle w:val="Normal"/>
        <w:ind w:hanging="0" w:left="0"/>
        <w:rPr>
          <w:color w:val="000000"/>
        </w:rPr>
      </w:pPr>
      <w:r>
        <w:rPr>
          <w:rFonts w:eastAsia="CIDFont+F4" w:cs="CIDFont+F4"/>
          <w:color w:val="000000"/>
          <w:sz w:val="22"/>
          <w:szCs w:val="22"/>
          <w:shd w:fill="auto" w:val="clear"/>
        </w:rPr>
        <w:t xml:space="preserve">               </w:t>
      </w:r>
      <w:r>
        <w:rPr>
          <w:rFonts w:eastAsia="CIDFont+F4" w:cs="CIDFont+F4"/>
          <w:color w:val="000000"/>
          <w:sz w:val="22"/>
          <w:szCs w:val="22"/>
          <w:shd w:fill="auto" w:val="clear"/>
        </w:rPr>
        <w:t>przekraczającej 60 N,</w:t>
      </w:r>
    </w:p>
    <w:p>
      <w:pPr>
        <w:pStyle w:val="Heading3"/>
        <w:numPr>
          <w:ilvl w:val="0"/>
          <w:numId w:val="0"/>
        </w:numPr>
        <w:tabs>
          <w:tab w:val="clear" w:pos="708"/>
        </w:tabs>
        <w:ind w:hanging="0" w:left="520" w:right="0"/>
        <w:rPr/>
      </w:pPr>
      <w:bookmarkStart w:id="4" w:name="__RefHeading___Toc8830_1000694973"/>
      <w:bookmarkEnd w:id="4"/>
      <w:r>
        <w:rPr>
          <w:rStyle w:val="Domylnaczcionkaakapitu"/>
          <w:rFonts w:ascii="Times New Roman" w:hAnsi="Times New Roman"/>
          <w:b/>
          <w:bCs/>
          <w:i w:val="false"/>
          <w:iCs w:val="false"/>
          <w:color w:val="000000"/>
          <w:w w:val="105"/>
          <w:sz w:val="22"/>
          <w:szCs w:val="22"/>
          <w:shd w:fill="auto" w:val="clear"/>
        </w:rPr>
        <w:t>Miska</w:t>
      </w:r>
      <w:r>
        <w:rPr>
          <w:rStyle w:val="Domylnaczcionkaakapitu"/>
          <w:rFonts w:ascii="Times New Roman" w:hAnsi="Times New Roman"/>
          <w:b/>
          <w:bCs/>
          <w:i w:val="false"/>
          <w:iCs w:val="false"/>
          <w:color w:val="000000"/>
          <w:spacing w:val="-12"/>
          <w:w w:val="105"/>
          <w:sz w:val="22"/>
          <w:szCs w:val="22"/>
          <w:shd w:fill="auto" w:val="clear"/>
        </w:rPr>
        <w:t xml:space="preserve"> </w:t>
      </w:r>
      <w:r>
        <w:rPr>
          <w:rStyle w:val="Domylnaczcionkaakapitu"/>
          <w:rFonts w:ascii="Times New Roman" w:hAnsi="Times New Roman"/>
          <w:b/>
          <w:bCs/>
          <w:i w:val="false"/>
          <w:iCs w:val="false"/>
          <w:color w:val="000000"/>
          <w:w w:val="105"/>
          <w:sz w:val="22"/>
          <w:szCs w:val="22"/>
          <w:shd w:fill="auto" w:val="clear"/>
        </w:rPr>
        <w:t>ust</w:t>
      </w:r>
      <w:r>
        <w:rPr>
          <w:rStyle w:val="Domylnaczcionkaakapitu"/>
          <w:rFonts w:ascii="Times New Roman" w:hAnsi="Times New Roman"/>
          <w:b/>
          <w:bCs/>
          <w:i w:val="false"/>
          <w:iCs w:val="false"/>
          <w:color w:val="000000"/>
          <w:spacing w:val="-18"/>
          <w:w w:val="105"/>
          <w:sz w:val="22"/>
          <w:szCs w:val="22"/>
          <w:shd w:fill="auto" w:val="clear"/>
        </w:rPr>
        <w:t>ę</w:t>
      </w:r>
      <w:r>
        <w:rPr>
          <w:rStyle w:val="Domylnaczcionkaakapitu"/>
          <w:rFonts w:ascii="Times New Roman" w:hAnsi="Times New Roman"/>
          <w:b/>
          <w:bCs/>
          <w:i w:val="false"/>
          <w:iCs w:val="false"/>
          <w:color w:val="000000"/>
          <w:spacing w:val="-2"/>
          <w:w w:val="105"/>
          <w:sz w:val="22"/>
          <w:szCs w:val="22"/>
          <w:shd w:fill="auto" w:val="clear"/>
        </w:rPr>
        <w:t>powa:</w:t>
      </w:r>
    </w:p>
    <w:p>
      <w:pPr>
        <w:pStyle w:val="Akapitzlist"/>
        <w:numPr>
          <w:ilvl w:val="1"/>
          <w:numId w:val="3"/>
        </w:numPr>
        <w:tabs>
          <w:tab w:val="left" w:pos="801" w:leader="none"/>
          <w:tab w:val="left" w:pos="9059" w:leader="none"/>
        </w:tabs>
        <w:suppressAutoHyphens w:val="true"/>
        <w:spacing w:lineRule="auto" w:line="288" w:before="252" w:after="0"/>
        <w:ind w:hanging="315" w:left="840" w:right="1218"/>
        <w:rPr/>
      </w:pPr>
      <w:r>
        <w:rPr>
          <w:rStyle w:val="Domylnaczcionkaakapitu"/>
          <w:rFonts w:ascii="Times New Roman" w:hAnsi="Times New Roman"/>
          <w:i w:val="false"/>
          <w:iCs w:val="false"/>
          <w:color w:val="000000"/>
          <w:w w:val="105"/>
          <w:sz w:val="22"/>
          <w:szCs w:val="22"/>
          <w:shd w:fill="auto" w:val="clear"/>
        </w:rPr>
        <w:t>przestrzeń wokół</w:t>
      </w:r>
      <w:r>
        <w:rPr>
          <w:rStyle w:val="Domylnaczcionkaakapitu"/>
          <w:rFonts w:ascii="Times New Roman" w:hAnsi="Times New Roman"/>
          <w:i w:val="false"/>
          <w:iCs w:val="false"/>
          <w:color w:val="000000"/>
          <w:spacing w:val="-4"/>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miski ustępowej jest zaprojektowana w</w:t>
      </w:r>
      <w:r>
        <w:rPr>
          <w:rStyle w:val="Domylnaczcionkaakapitu"/>
          <w:rFonts w:ascii="Times New Roman" w:hAnsi="Times New Roman"/>
          <w:i w:val="false"/>
          <w:iCs w:val="false"/>
          <w:color w:val="000000"/>
          <w:spacing w:val="-3"/>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 xml:space="preserve">sposób uwzględniający różne sposoby (zależne od przyzwyczajenia lub schorzenia) przesiadania się </w:t>
      </w:r>
      <w:r>
        <w:rPr>
          <w:rStyle w:val="Domylnaczcionkaakapitu"/>
          <w:rFonts w:ascii="Times New Roman" w:hAnsi="Times New Roman"/>
          <w:i w:val="false"/>
          <w:iCs w:val="false"/>
          <w:color w:val="000000"/>
          <w:spacing w:val="-10"/>
          <w:w w:val="105"/>
          <w:sz w:val="22"/>
          <w:szCs w:val="22"/>
          <w:shd w:fill="auto" w:val="clear"/>
        </w:rPr>
        <w:t xml:space="preserve">z </w:t>
      </w:r>
      <w:r>
        <w:rPr>
          <w:rStyle w:val="Domylnaczcionkaakapitu"/>
          <w:rFonts w:ascii="Times New Roman" w:hAnsi="Times New Roman"/>
          <w:i w:val="false"/>
          <w:iCs w:val="false"/>
          <w:color w:val="000000"/>
          <w:w w:val="105"/>
          <w:sz w:val="22"/>
          <w:szCs w:val="22"/>
          <w:shd w:fill="auto" w:val="clear"/>
        </w:rPr>
        <w:t>wózka na miskę ustępową,</w:t>
      </w:r>
    </w:p>
    <w:p>
      <w:pPr>
        <w:pStyle w:val="Akapitzlist"/>
        <w:numPr>
          <w:ilvl w:val="1"/>
          <w:numId w:val="3"/>
        </w:numPr>
        <w:tabs>
          <w:tab w:val="left" w:pos="803" w:leader="none"/>
          <w:tab w:val="left" w:pos="4415" w:leader="none"/>
        </w:tabs>
        <w:spacing w:before="139" w:after="0"/>
        <w:ind w:hanging="288" w:left="803" w:right="0"/>
        <w:rPr/>
      </w:pPr>
      <w:r>
        <w:rPr>
          <w:rStyle w:val="Domylnaczcionkaakapitu"/>
          <w:rFonts w:ascii="Times New Roman" w:hAnsi="Times New Roman"/>
          <w:i w:val="false"/>
          <w:iCs w:val="false"/>
          <w:color w:val="000000"/>
          <w:w w:val="105"/>
          <w:sz w:val="22"/>
          <w:szCs w:val="22"/>
          <w:shd w:fill="auto" w:val="clear"/>
        </w:rPr>
        <w:t>górna</w:t>
      </w:r>
      <w:r>
        <w:rPr>
          <w:rStyle w:val="Domylnaczcionkaakapitu"/>
          <w:rFonts w:ascii="Times New Roman" w:hAnsi="Times New Roman"/>
          <w:i w:val="false"/>
          <w:iCs w:val="false"/>
          <w:color w:val="000000"/>
          <w:spacing w:val="8"/>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kraw</w:t>
      </w:r>
      <w:r>
        <w:rPr>
          <w:rStyle w:val="Domylnaczcionkaakapitu"/>
          <w:rFonts w:ascii="Times New Roman" w:hAnsi="Times New Roman"/>
          <w:i w:val="false"/>
          <w:iCs w:val="false"/>
          <w:color w:val="000000"/>
          <w:spacing w:val="1"/>
          <w:w w:val="105"/>
          <w:sz w:val="22"/>
          <w:szCs w:val="22"/>
          <w:shd w:fill="auto" w:val="clear"/>
        </w:rPr>
        <w:t>ę</w:t>
      </w:r>
      <w:r>
        <w:rPr>
          <w:rStyle w:val="Domylnaczcionkaakapitu"/>
          <w:rFonts w:ascii="Times New Roman" w:hAnsi="Times New Roman"/>
          <w:i w:val="false"/>
          <w:iCs w:val="false"/>
          <w:color w:val="000000"/>
          <w:w w:val="105"/>
          <w:sz w:val="22"/>
          <w:szCs w:val="22"/>
          <w:shd w:fill="auto" w:val="clear"/>
        </w:rPr>
        <w:t>dź</w:t>
      </w:r>
      <w:r>
        <w:rPr>
          <w:rStyle w:val="Domylnaczcionkaakapitu"/>
          <w:rFonts w:ascii="Times New Roman" w:hAnsi="Times New Roman"/>
          <w:i w:val="false"/>
          <w:iCs w:val="false"/>
          <w:color w:val="000000"/>
          <w:spacing w:val="10"/>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deski znajduje</w:t>
      </w:r>
      <w:r>
        <w:rPr>
          <w:rStyle w:val="Domylnaczcionkaakapitu"/>
          <w:rFonts w:ascii="Times New Roman" w:hAnsi="Times New Roman"/>
          <w:i w:val="false"/>
          <w:iCs w:val="false"/>
          <w:color w:val="000000"/>
          <w:spacing w:val="11"/>
          <w:w w:val="105"/>
          <w:sz w:val="22"/>
          <w:szCs w:val="22"/>
          <w:shd w:fill="auto" w:val="clear"/>
        </w:rPr>
        <w:t xml:space="preserve"> </w:t>
      </w:r>
      <w:r>
        <w:rPr>
          <w:rStyle w:val="Domylnaczcionkaakapitu"/>
          <w:rFonts w:ascii="Times New Roman" w:hAnsi="Times New Roman"/>
          <w:i w:val="false"/>
          <w:iCs w:val="false"/>
          <w:color w:val="000000"/>
          <w:spacing w:val="-5"/>
          <w:w w:val="105"/>
          <w:sz w:val="22"/>
          <w:szCs w:val="22"/>
          <w:shd w:fill="auto" w:val="clear"/>
        </w:rPr>
        <w:t xml:space="preserve">się </w:t>
      </w:r>
      <w:r>
        <w:rPr>
          <w:rStyle w:val="Domylnaczcionkaakapitu"/>
          <w:rFonts w:ascii="Times New Roman" w:hAnsi="Times New Roman"/>
          <w:i w:val="false"/>
          <w:iCs w:val="false"/>
          <w:color w:val="000000"/>
          <w:w w:val="105"/>
          <w:sz w:val="22"/>
          <w:szCs w:val="22"/>
          <w:shd w:fill="auto" w:val="clear"/>
        </w:rPr>
        <w:t>na</w:t>
      </w:r>
      <w:r>
        <w:rPr>
          <w:rStyle w:val="Domylnaczcionkaakapitu"/>
          <w:rFonts w:ascii="Times New Roman" w:hAnsi="Times New Roman"/>
          <w:i w:val="false"/>
          <w:iCs w:val="false"/>
          <w:color w:val="000000"/>
          <w:spacing w:val="-13"/>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wysokości</w:t>
      </w:r>
      <w:r>
        <w:rPr>
          <w:rStyle w:val="Domylnaczcionkaakapitu"/>
          <w:rFonts w:ascii="Times New Roman" w:hAnsi="Times New Roman"/>
          <w:i w:val="false"/>
          <w:iCs w:val="false"/>
          <w:color w:val="000000"/>
          <w:spacing w:val="-8"/>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42-48</w:t>
      </w:r>
      <w:r>
        <w:rPr>
          <w:rStyle w:val="Domylnaczcionkaakapitu"/>
          <w:rFonts w:ascii="Times New Roman" w:hAnsi="Times New Roman"/>
          <w:i w:val="false"/>
          <w:iCs w:val="false"/>
          <w:color w:val="000000"/>
          <w:spacing w:val="-11"/>
          <w:w w:val="105"/>
          <w:sz w:val="22"/>
          <w:szCs w:val="22"/>
          <w:shd w:fill="auto" w:val="clear"/>
        </w:rPr>
        <w:t xml:space="preserve"> </w:t>
      </w:r>
      <w:r>
        <w:rPr>
          <w:rStyle w:val="Domylnaczcionkaakapitu"/>
          <w:rFonts w:ascii="Times New Roman" w:hAnsi="Times New Roman"/>
          <w:i w:val="false"/>
          <w:iCs w:val="false"/>
          <w:color w:val="000000"/>
          <w:spacing w:val="-5"/>
          <w:w w:val="105"/>
          <w:sz w:val="22"/>
          <w:szCs w:val="22"/>
          <w:shd w:fill="auto" w:val="clear"/>
        </w:rPr>
        <w:t>cm.</w:t>
      </w:r>
    </w:p>
    <w:p>
      <w:pPr>
        <w:pStyle w:val="Akapitzlist"/>
        <w:numPr>
          <w:ilvl w:val="1"/>
          <w:numId w:val="3"/>
        </w:numPr>
        <w:tabs>
          <w:tab w:val="left" w:pos="803" w:leader="none"/>
        </w:tabs>
        <w:spacing w:before="182" w:after="0"/>
        <w:ind w:hanging="288" w:left="803" w:right="0"/>
        <w:rPr/>
      </w:pPr>
      <w:r>
        <w:rPr>
          <w:rStyle w:val="Domylnaczcionkaakapitu"/>
          <w:rFonts w:ascii="Times New Roman" w:hAnsi="Times New Roman"/>
          <w:i w:val="false"/>
          <w:iCs w:val="false"/>
          <w:color w:val="000000"/>
          <w:w w:val="105"/>
          <w:sz w:val="22"/>
          <w:szCs w:val="22"/>
          <w:shd w:fill="auto" w:val="clear"/>
        </w:rPr>
        <w:t>os</w:t>
      </w:r>
      <w:r>
        <w:rPr>
          <w:rStyle w:val="Domylnaczcionkaakapitu"/>
          <w:rFonts w:ascii="Times New Roman" w:hAnsi="Times New Roman"/>
          <w:i w:val="false"/>
          <w:iCs w:val="false"/>
          <w:color w:val="000000"/>
          <w:spacing w:val="-2"/>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miski</w:t>
      </w:r>
      <w:r>
        <w:rPr>
          <w:rStyle w:val="Domylnaczcionkaakapitu"/>
          <w:rFonts w:ascii="Times New Roman" w:hAnsi="Times New Roman"/>
          <w:i w:val="false"/>
          <w:iCs w:val="false"/>
          <w:color w:val="000000"/>
          <w:spacing w:val="6"/>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ustępowej</w:t>
      </w:r>
      <w:r>
        <w:rPr>
          <w:rStyle w:val="Domylnaczcionkaakapitu"/>
          <w:rFonts w:ascii="Times New Roman" w:hAnsi="Times New Roman"/>
          <w:i w:val="false"/>
          <w:iCs w:val="false"/>
          <w:color w:val="000000"/>
          <w:spacing w:val="8"/>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jest nie</w:t>
      </w:r>
      <w:r>
        <w:rPr>
          <w:rStyle w:val="Domylnaczcionkaakapitu"/>
          <w:rFonts w:ascii="Times New Roman" w:hAnsi="Times New Roman"/>
          <w:i w:val="false"/>
          <w:iCs w:val="false"/>
          <w:color w:val="000000"/>
          <w:spacing w:val="-1"/>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bliżej</w:t>
      </w:r>
      <w:r>
        <w:rPr>
          <w:rStyle w:val="Domylnaczcionkaakapitu"/>
          <w:rFonts w:ascii="Times New Roman" w:hAnsi="Times New Roman"/>
          <w:i w:val="false"/>
          <w:iCs w:val="false"/>
          <w:color w:val="000000"/>
          <w:spacing w:val="6"/>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niż</w:t>
      </w:r>
      <w:r>
        <w:rPr>
          <w:rStyle w:val="Domylnaczcionkaakapitu"/>
          <w:rFonts w:ascii="Times New Roman" w:hAnsi="Times New Roman"/>
          <w:i w:val="false"/>
          <w:iCs w:val="false"/>
          <w:color w:val="000000"/>
          <w:spacing w:val="1"/>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45</w:t>
      </w:r>
      <w:r>
        <w:rPr>
          <w:rStyle w:val="Domylnaczcionkaakapitu"/>
          <w:rFonts w:ascii="Times New Roman" w:hAnsi="Times New Roman"/>
          <w:i w:val="false"/>
          <w:iCs w:val="false"/>
          <w:color w:val="000000"/>
          <w:spacing w:val="-5"/>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cm od</w:t>
      </w:r>
      <w:r>
        <w:rPr>
          <w:rStyle w:val="Domylnaczcionkaakapitu"/>
          <w:rFonts w:ascii="Times New Roman" w:hAnsi="Times New Roman"/>
          <w:i w:val="false"/>
          <w:iCs w:val="false"/>
          <w:color w:val="000000"/>
          <w:spacing w:val="2"/>
          <w:w w:val="105"/>
          <w:sz w:val="22"/>
          <w:szCs w:val="22"/>
          <w:shd w:fill="auto" w:val="clear"/>
        </w:rPr>
        <w:t xml:space="preserve"> </w:t>
      </w:r>
      <w:r>
        <w:rPr>
          <w:rStyle w:val="Domylnaczcionkaakapitu"/>
          <w:rFonts w:ascii="Times New Roman" w:hAnsi="Times New Roman"/>
          <w:i w:val="false"/>
          <w:iCs w:val="false"/>
          <w:color w:val="000000"/>
          <w:spacing w:val="-2"/>
          <w:w w:val="105"/>
          <w:sz w:val="22"/>
          <w:szCs w:val="22"/>
          <w:shd w:fill="auto" w:val="clear"/>
        </w:rPr>
        <w:t>ściany,</w:t>
      </w:r>
    </w:p>
    <w:p>
      <w:pPr>
        <w:pStyle w:val="Akapitzlist"/>
        <w:numPr>
          <w:ilvl w:val="1"/>
          <w:numId w:val="3"/>
        </w:numPr>
        <w:tabs>
          <w:tab w:val="left" w:pos="803" w:leader="none"/>
        </w:tabs>
        <w:spacing w:before="192" w:after="0"/>
        <w:ind w:hanging="288" w:left="803" w:right="0"/>
        <w:rPr/>
      </w:pPr>
      <w:r>
        <w:rPr>
          <w:rStyle w:val="Domylnaczcionkaakapitu"/>
          <w:rFonts w:ascii="Times New Roman" w:hAnsi="Times New Roman"/>
          <w:i w:val="false"/>
          <w:iCs w:val="false"/>
          <w:color w:val="000000"/>
          <w:w w:val="105"/>
          <w:sz w:val="22"/>
          <w:szCs w:val="22"/>
          <w:shd w:fill="auto" w:val="clear"/>
        </w:rPr>
        <w:t>deska</w:t>
      </w:r>
      <w:r>
        <w:rPr>
          <w:rStyle w:val="Domylnaczcionkaakapitu"/>
          <w:rFonts w:ascii="Times New Roman" w:hAnsi="Times New Roman"/>
          <w:i w:val="false"/>
          <w:iCs w:val="false"/>
          <w:color w:val="000000"/>
          <w:spacing w:val="-1"/>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klozetowa</w:t>
      </w:r>
      <w:r>
        <w:rPr>
          <w:rStyle w:val="Domylnaczcionkaakapitu"/>
          <w:rFonts w:ascii="Times New Roman" w:hAnsi="Times New Roman"/>
          <w:i w:val="false"/>
          <w:iCs w:val="false"/>
          <w:color w:val="000000"/>
          <w:spacing w:val="4"/>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jest</w:t>
      </w:r>
      <w:r>
        <w:rPr>
          <w:rStyle w:val="Domylnaczcionkaakapitu"/>
          <w:rFonts w:ascii="Times New Roman" w:hAnsi="Times New Roman"/>
          <w:i w:val="false"/>
          <w:iCs w:val="false"/>
          <w:color w:val="000000"/>
          <w:spacing w:val="-5"/>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jednolita,</w:t>
      </w:r>
      <w:r>
        <w:rPr>
          <w:rStyle w:val="Domylnaczcionkaakapitu"/>
          <w:rFonts w:ascii="Times New Roman" w:hAnsi="Times New Roman"/>
          <w:i w:val="false"/>
          <w:iCs w:val="false"/>
          <w:color w:val="000000"/>
          <w:spacing w:val="11"/>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bez</w:t>
      </w:r>
      <w:r>
        <w:rPr>
          <w:rStyle w:val="Domylnaczcionkaakapitu"/>
          <w:rFonts w:ascii="Times New Roman" w:hAnsi="Times New Roman"/>
          <w:i w:val="false"/>
          <w:iCs w:val="false"/>
          <w:color w:val="000000"/>
          <w:spacing w:val="-2"/>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wycięć,</w:t>
      </w:r>
      <w:r>
        <w:rPr>
          <w:rStyle w:val="Domylnaczcionkaakapitu"/>
          <w:rFonts w:ascii="Times New Roman" w:hAnsi="Times New Roman"/>
          <w:i w:val="false"/>
          <w:iCs w:val="false"/>
          <w:color w:val="000000"/>
          <w:spacing w:val="-3"/>
          <w:w w:val="105"/>
          <w:sz w:val="22"/>
          <w:szCs w:val="22"/>
          <w:shd w:fill="auto" w:val="clear"/>
        </w:rPr>
        <w:t xml:space="preserve"> </w:t>
      </w:r>
      <w:r>
        <w:rPr>
          <w:rStyle w:val="Domylnaczcionkaakapitu"/>
          <w:rFonts w:ascii="Times New Roman" w:hAnsi="Times New Roman"/>
          <w:i w:val="false"/>
          <w:iCs w:val="false"/>
          <w:color w:val="000000"/>
          <w:spacing w:val="-2"/>
          <w:w w:val="105"/>
          <w:sz w:val="22"/>
          <w:szCs w:val="22"/>
          <w:shd w:fill="auto" w:val="clear"/>
        </w:rPr>
        <w:t>stabilna.</w:t>
      </w:r>
    </w:p>
    <w:p>
      <w:pPr>
        <w:pStyle w:val="BodyText"/>
        <w:ind w:hanging="0" w:left="0"/>
        <w:rPr>
          <w:rFonts w:ascii="Times New Roman" w:hAnsi="Times New Roman"/>
          <w:i w:val="false"/>
          <w:iCs w:val="false"/>
          <w:color w:val="000000"/>
          <w:sz w:val="22"/>
          <w:szCs w:val="22"/>
          <w:shd w:fill="auto" w:val="clear"/>
        </w:rPr>
      </w:pPr>
      <w:r>
        <w:rPr>
          <w:i w:val="false"/>
          <w:iCs w:val="false"/>
          <w:color w:val="000000"/>
          <w:sz w:val="22"/>
          <w:szCs w:val="22"/>
          <w:shd w:fill="auto" w:val="clear"/>
        </w:rPr>
      </w:r>
    </w:p>
    <w:p>
      <w:pPr>
        <w:pStyle w:val="Normal"/>
        <w:tabs>
          <w:tab w:val="clear" w:pos="708"/>
        </w:tabs>
        <w:spacing w:before="77" w:after="0"/>
        <w:ind w:hanging="0" w:left="517" w:right="0"/>
        <w:rPr/>
      </w:pPr>
      <w:r>
        <w:rPr>
          <w:rStyle w:val="Domylnaczcionkaakapitu"/>
          <w:b/>
          <w:bCs/>
          <w:i w:val="false"/>
          <w:iCs w:val="false"/>
          <w:color w:val="000000"/>
          <w:w w:val="110"/>
          <w:sz w:val="22"/>
          <w:szCs w:val="22"/>
          <w:shd w:fill="auto" w:val="clear"/>
        </w:rPr>
        <w:t>Porę</w:t>
      </w:r>
      <w:r>
        <w:rPr>
          <w:rStyle w:val="Domylnaczcionkaakapitu"/>
          <w:b/>
          <w:bCs/>
          <w:i w:val="false"/>
          <w:iCs w:val="false"/>
          <w:color w:val="000000"/>
          <w:spacing w:val="-4"/>
          <w:w w:val="110"/>
          <w:sz w:val="22"/>
          <w:szCs w:val="22"/>
          <w:shd w:fill="auto" w:val="clear"/>
        </w:rPr>
        <w:t>cze:</w:t>
      </w:r>
    </w:p>
    <w:p>
      <w:pPr>
        <w:pStyle w:val="Akapitzlist"/>
        <w:numPr>
          <w:ilvl w:val="1"/>
          <w:numId w:val="3"/>
        </w:numPr>
        <w:tabs>
          <w:tab w:val="left" w:pos="798" w:leader="none"/>
          <w:tab w:val="left" w:pos="800" w:leader="none"/>
        </w:tabs>
        <w:spacing w:lineRule="auto" w:line="276" w:before="254" w:after="0"/>
        <w:ind w:hanging="285" w:left="800" w:right="1117"/>
        <w:rPr/>
      </w:pPr>
      <w:r>
        <w:rPr>
          <w:rStyle w:val="Domylnaczcionkaakapitu"/>
          <w:rFonts w:ascii="Times New Roman" w:hAnsi="Times New Roman"/>
          <w:i w:val="false"/>
          <w:iCs w:val="false"/>
          <w:color w:val="000000"/>
          <w:sz w:val="22"/>
          <w:szCs w:val="22"/>
          <w:shd w:fill="auto" w:val="clear"/>
        </w:rPr>
        <w:t>montowane</w:t>
      </w:r>
      <w:r>
        <w:rPr>
          <w:rStyle w:val="Domylnaczcionkaakapitu"/>
          <w:rFonts w:ascii="Times New Roman" w:hAnsi="Times New Roman"/>
          <w:i w:val="false"/>
          <w:iCs w:val="false"/>
          <w:color w:val="000000"/>
          <w:spacing w:val="29"/>
          <w:sz w:val="22"/>
          <w:szCs w:val="22"/>
          <w:shd w:fill="auto" w:val="clear"/>
        </w:rPr>
        <w:t xml:space="preserve"> </w:t>
      </w:r>
      <w:r>
        <w:rPr>
          <w:rStyle w:val="Domylnaczcionkaakapitu"/>
          <w:rFonts w:ascii="Times New Roman" w:hAnsi="Times New Roman"/>
          <w:i w:val="false"/>
          <w:iCs w:val="false"/>
          <w:color w:val="000000"/>
          <w:sz w:val="22"/>
          <w:szCs w:val="22"/>
          <w:shd w:fill="auto" w:val="clear"/>
        </w:rPr>
        <w:t>w odległości</w:t>
      </w:r>
      <w:r>
        <w:rPr>
          <w:rStyle w:val="Domylnaczcionkaakapitu"/>
          <w:rFonts w:ascii="Times New Roman" w:hAnsi="Times New Roman"/>
          <w:i w:val="false"/>
          <w:iCs w:val="false"/>
          <w:color w:val="000000"/>
          <w:spacing w:val="31"/>
          <w:sz w:val="22"/>
          <w:szCs w:val="22"/>
          <w:shd w:fill="auto" w:val="clear"/>
        </w:rPr>
        <w:t xml:space="preserve"> </w:t>
      </w:r>
      <w:r>
        <w:rPr>
          <w:rStyle w:val="Domylnaczcionkaakapitu"/>
          <w:rFonts w:ascii="Times New Roman" w:hAnsi="Times New Roman"/>
          <w:i w:val="false"/>
          <w:iCs w:val="false"/>
          <w:color w:val="000000"/>
          <w:sz w:val="22"/>
          <w:szCs w:val="22"/>
          <w:shd w:fill="auto" w:val="clear"/>
        </w:rPr>
        <w:t>ok. 40 cm od osi miski ustępowej (do osi poręczy)</w:t>
      </w:r>
      <w:r>
        <w:rPr>
          <w:rStyle w:val="Domylnaczcionkaakapitu"/>
          <w:rFonts w:ascii="Times New Roman" w:hAnsi="Times New Roman"/>
          <w:i w:val="false"/>
          <w:iCs w:val="false"/>
          <w:color w:val="000000"/>
          <w:spacing w:val="29"/>
          <w:sz w:val="22"/>
          <w:szCs w:val="22"/>
          <w:shd w:fill="auto" w:val="clear"/>
        </w:rPr>
        <w:t xml:space="preserve"> </w:t>
      </w:r>
      <w:r>
        <w:rPr>
          <w:rStyle w:val="Domylnaczcionkaakapitu"/>
          <w:rFonts w:ascii="Times New Roman" w:hAnsi="Times New Roman"/>
          <w:i w:val="false"/>
          <w:iCs w:val="false"/>
          <w:color w:val="000000"/>
          <w:sz w:val="22"/>
          <w:szCs w:val="22"/>
          <w:shd w:fill="auto" w:val="clear"/>
        </w:rPr>
        <w:t>oraz na wysokości 70-85 cm (górna krawędź poręczy), wystające minimum 10</w:t>
      </w:r>
      <w:r>
        <w:rPr>
          <w:rStyle w:val="Domylnaczcionkaakapitu"/>
          <w:rFonts w:ascii="Times New Roman" w:hAnsi="Times New Roman"/>
          <w:i w:val="false"/>
          <w:iCs w:val="false"/>
          <w:color w:val="000000"/>
          <w:spacing w:val="-5"/>
          <w:sz w:val="22"/>
          <w:szCs w:val="22"/>
          <w:shd w:fill="auto" w:val="clear"/>
        </w:rPr>
        <w:t xml:space="preserve"> </w:t>
      </w:r>
      <w:r>
        <w:rPr>
          <w:rStyle w:val="Domylnaczcionkaakapitu"/>
          <w:rFonts w:ascii="Times New Roman" w:hAnsi="Times New Roman"/>
          <w:i w:val="false"/>
          <w:iCs w:val="false"/>
          <w:color w:val="000000"/>
          <w:sz w:val="22"/>
          <w:szCs w:val="22"/>
          <w:shd w:fill="auto" w:val="clear"/>
        </w:rPr>
        <w:t>-</w:t>
      </w:r>
      <w:r>
        <w:rPr>
          <w:rStyle w:val="Domylnaczcionkaakapitu"/>
          <w:rFonts w:ascii="Times New Roman" w:hAnsi="Times New Roman"/>
          <w:i w:val="false"/>
          <w:iCs w:val="false"/>
          <w:color w:val="000000"/>
          <w:spacing w:val="-3"/>
          <w:sz w:val="22"/>
          <w:szCs w:val="22"/>
          <w:shd w:fill="auto" w:val="clear"/>
        </w:rPr>
        <w:t xml:space="preserve"> </w:t>
      </w:r>
      <w:r>
        <w:rPr>
          <w:rStyle w:val="Domylnaczcionkaakapitu"/>
          <w:rFonts w:ascii="Times New Roman" w:hAnsi="Times New Roman"/>
          <w:i w:val="false"/>
          <w:iCs w:val="false"/>
          <w:color w:val="000000"/>
          <w:sz w:val="22"/>
          <w:szCs w:val="22"/>
          <w:shd w:fill="auto" w:val="clear"/>
        </w:rPr>
        <w:t>15 cm przed muszlę ,</w:t>
      </w:r>
    </w:p>
    <w:p>
      <w:pPr>
        <w:pStyle w:val="Akapitzlist"/>
        <w:numPr>
          <w:ilvl w:val="1"/>
          <w:numId w:val="3"/>
        </w:numPr>
        <w:tabs>
          <w:tab w:val="left" w:pos="803" w:leader="none"/>
        </w:tabs>
        <w:spacing w:before="131" w:after="0"/>
        <w:ind w:hanging="288" w:left="803" w:right="0"/>
        <w:rPr/>
      </w:pPr>
      <w:r>
        <w:rPr>
          <w:rStyle w:val="Domylnaczcionkaakapitu"/>
          <w:rFonts w:ascii="Times New Roman" w:hAnsi="Times New Roman"/>
          <w:i w:val="false"/>
          <w:iCs w:val="false"/>
          <w:color w:val="000000"/>
          <w:spacing w:val="-3"/>
          <w:sz w:val="22"/>
          <w:szCs w:val="22"/>
          <w:shd w:fill="auto" w:val="clear"/>
        </w:rPr>
        <w:t xml:space="preserve">długości </w:t>
      </w:r>
      <w:r>
        <w:rPr>
          <w:rStyle w:val="Domylnaczcionkaakapitu"/>
          <w:rFonts w:ascii="Times New Roman" w:hAnsi="Times New Roman"/>
          <w:i w:val="false"/>
          <w:iCs w:val="false"/>
          <w:color w:val="000000"/>
          <w:sz w:val="22"/>
          <w:szCs w:val="22"/>
          <w:shd w:fill="auto" w:val="clear"/>
        </w:rPr>
        <w:t>75-90</w:t>
      </w:r>
      <w:r>
        <w:rPr>
          <w:rStyle w:val="Domylnaczcionkaakapitu"/>
          <w:rFonts w:ascii="Times New Roman" w:hAnsi="Times New Roman"/>
          <w:i w:val="false"/>
          <w:iCs w:val="false"/>
          <w:color w:val="000000"/>
          <w:spacing w:val="-2"/>
          <w:sz w:val="22"/>
          <w:szCs w:val="22"/>
          <w:shd w:fill="auto" w:val="clear"/>
        </w:rPr>
        <w:t xml:space="preserve"> </w:t>
      </w:r>
      <w:r>
        <w:rPr>
          <w:rStyle w:val="Domylnaczcionkaakapitu"/>
          <w:rFonts w:ascii="Times New Roman" w:hAnsi="Times New Roman"/>
          <w:i w:val="false"/>
          <w:iCs w:val="false"/>
          <w:color w:val="000000"/>
          <w:sz w:val="22"/>
          <w:szCs w:val="22"/>
          <w:shd w:fill="auto" w:val="clear"/>
        </w:rPr>
        <w:t>cm</w:t>
      </w:r>
      <w:r>
        <w:rPr>
          <w:rStyle w:val="Domylnaczcionkaakapitu"/>
          <w:rFonts w:ascii="Times New Roman" w:hAnsi="Times New Roman"/>
          <w:i w:val="false"/>
          <w:iCs w:val="false"/>
          <w:color w:val="000000"/>
          <w:spacing w:val="-9"/>
          <w:sz w:val="22"/>
          <w:szCs w:val="22"/>
          <w:shd w:fill="auto" w:val="clear"/>
        </w:rPr>
        <w:t xml:space="preserve"> </w:t>
      </w:r>
      <w:r>
        <w:rPr>
          <w:rStyle w:val="Domylnaczcionkaakapitu"/>
          <w:rFonts w:ascii="Times New Roman" w:hAnsi="Times New Roman"/>
          <w:i w:val="false"/>
          <w:iCs w:val="false"/>
          <w:color w:val="000000"/>
          <w:sz w:val="22"/>
          <w:szCs w:val="22"/>
          <w:shd w:fill="auto" w:val="clear"/>
        </w:rPr>
        <w:t>(podnoszona</w:t>
      </w:r>
      <w:r>
        <w:rPr>
          <w:rStyle w:val="Domylnaczcionkaakapitu"/>
          <w:rFonts w:ascii="Times New Roman" w:hAnsi="Times New Roman"/>
          <w:i w:val="false"/>
          <w:iCs w:val="false"/>
          <w:color w:val="000000"/>
          <w:spacing w:val="18"/>
          <w:sz w:val="22"/>
          <w:szCs w:val="22"/>
          <w:shd w:fill="auto" w:val="clear"/>
        </w:rPr>
        <w:t xml:space="preserve"> </w:t>
      </w:r>
      <w:r>
        <w:rPr>
          <w:rStyle w:val="Domylnaczcionkaakapitu"/>
          <w:rFonts w:ascii="Times New Roman" w:hAnsi="Times New Roman"/>
          <w:i w:val="false"/>
          <w:iCs w:val="false"/>
          <w:color w:val="000000"/>
          <w:sz w:val="22"/>
          <w:szCs w:val="22"/>
          <w:shd w:fill="auto" w:val="clear"/>
        </w:rPr>
        <w:t>z</w:t>
      </w:r>
      <w:r>
        <w:rPr>
          <w:rStyle w:val="Domylnaczcionkaakapitu"/>
          <w:rFonts w:ascii="Times New Roman" w:hAnsi="Times New Roman"/>
          <w:i w:val="false"/>
          <w:iCs w:val="false"/>
          <w:color w:val="000000"/>
          <w:spacing w:val="-10"/>
          <w:sz w:val="22"/>
          <w:szCs w:val="22"/>
          <w:shd w:fill="auto" w:val="clear"/>
        </w:rPr>
        <w:t xml:space="preserve"> jednej</w:t>
      </w:r>
      <w:r>
        <w:rPr>
          <w:rStyle w:val="Domylnaczcionkaakapitu"/>
          <w:rFonts w:ascii="Times New Roman" w:hAnsi="Times New Roman"/>
          <w:i w:val="false"/>
          <w:iCs w:val="false"/>
          <w:color w:val="000000"/>
          <w:spacing w:val="-6"/>
          <w:sz w:val="22"/>
          <w:szCs w:val="22"/>
          <w:shd w:fill="auto" w:val="clear"/>
        </w:rPr>
        <w:t xml:space="preserve"> </w:t>
      </w:r>
      <w:r>
        <w:rPr>
          <w:rStyle w:val="Domylnaczcionkaakapitu"/>
          <w:rFonts w:ascii="Times New Roman" w:hAnsi="Times New Roman"/>
          <w:i w:val="false"/>
          <w:iCs w:val="false"/>
          <w:color w:val="000000"/>
          <w:sz w:val="22"/>
          <w:szCs w:val="22"/>
          <w:shd w:fill="auto" w:val="clear"/>
        </w:rPr>
        <w:t>strony</w:t>
      </w:r>
      <w:r>
        <w:rPr>
          <w:rStyle w:val="Domylnaczcionkaakapitu"/>
          <w:rFonts w:ascii="Times New Roman" w:hAnsi="Times New Roman"/>
          <w:i w:val="false"/>
          <w:iCs w:val="false"/>
          <w:color w:val="000000"/>
          <w:spacing w:val="-8"/>
          <w:sz w:val="22"/>
          <w:szCs w:val="22"/>
          <w:shd w:fill="auto" w:val="clear"/>
        </w:rPr>
        <w:t xml:space="preserve"> </w:t>
      </w:r>
      <w:r>
        <w:rPr>
          <w:rStyle w:val="Domylnaczcionkaakapitu"/>
          <w:rFonts w:ascii="Times New Roman" w:hAnsi="Times New Roman"/>
          <w:i w:val="false"/>
          <w:iCs w:val="false"/>
          <w:color w:val="000000"/>
          <w:sz w:val="22"/>
          <w:szCs w:val="22"/>
          <w:shd w:fill="auto" w:val="clear"/>
        </w:rPr>
        <w:t>miski</w:t>
      </w:r>
      <w:r>
        <w:rPr>
          <w:rStyle w:val="Domylnaczcionkaakapitu"/>
          <w:rFonts w:ascii="Times New Roman" w:hAnsi="Times New Roman"/>
          <w:i w:val="false"/>
          <w:iCs w:val="false"/>
          <w:color w:val="000000"/>
          <w:spacing w:val="-4"/>
          <w:sz w:val="22"/>
          <w:szCs w:val="22"/>
          <w:shd w:fill="auto" w:val="clear"/>
        </w:rPr>
        <w:t xml:space="preserve"> </w:t>
      </w:r>
      <w:r>
        <w:rPr>
          <w:rStyle w:val="Domylnaczcionkaakapitu"/>
          <w:rFonts w:ascii="Times New Roman" w:hAnsi="Times New Roman"/>
          <w:i w:val="false"/>
          <w:iCs w:val="false"/>
          <w:color w:val="000000"/>
          <w:sz w:val="22"/>
          <w:szCs w:val="22"/>
          <w:shd w:fill="auto" w:val="clear"/>
        </w:rPr>
        <w:t>ust</w:t>
      </w:r>
      <w:r>
        <w:rPr>
          <w:rStyle w:val="Domylnaczcionkaakapitu"/>
          <w:rFonts w:ascii="Times New Roman" w:hAnsi="Times New Roman"/>
          <w:i w:val="false"/>
          <w:iCs w:val="false"/>
          <w:color w:val="000000"/>
          <w:spacing w:val="-7"/>
          <w:sz w:val="22"/>
          <w:szCs w:val="22"/>
          <w:shd w:fill="auto" w:val="clear"/>
        </w:rPr>
        <w:t>ę</w:t>
      </w:r>
      <w:r>
        <w:rPr>
          <w:rStyle w:val="Domylnaczcionkaakapitu"/>
          <w:rFonts w:ascii="Times New Roman" w:hAnsi="Times New Roman"/>
          <w:i w:val="false"/>
          <w:iCs w:val="false"/>
          <w:color w:val="000000"/>
          <w:spacing w:val="-2"/>
          <w:sz w:val="22"/>
          <w:szCs w:val="22"/>
          <w:shd w:fill="auto" w:val="clear"/>
        </w:rPr>
        <w:t>powej),</w:t>
      </w:r>
    </w:p>
    <w:p>
      <w:pPr>
        <w:pStyle w:val="Akapitzlist"/>
        <w:numPr>
          <w:ilvl w:val="1"/>
          <w:numId w:val="3"/>
        </w:numPr>
        <w:tabs>
          <w:tab w:val="left" w:pos="800" w:leader="none"/>
        </w:tabs>
        <w:spacing w:lineRule="auto" w:line="276" w:before="180" w:after="0"/>
        <w:ind w:hanging="285" w:left="800" w:right="1055"/>
        <w:rPr/>
      </w:pPr>
      <w:r>
        <w:rPr>
          <w:rStyle w:val="Domylnaczcionkaakapitu"/>
          <w:rFonts w:ascii="Times New Roman" w:hAnsi="Times New Roman"/>
          <w:i w:val="false"/>
          <w:iCs w:val="false"/>
          <w:color w:val="000000"/>
          <w:sz w:val="22"/>
          <w:szCs w:val="22"/>
          <w:shd w:fill="auto" w:val="clear"/>
        </w:rPr>
        <w:t>pochwyt mocowany</w:t>
      </w:r>
      <w:r>
        <w:rPr>
          <w:rStyle w:val="Domylnaczcionkaakapitu"/>
          <w:rFonts w:ascii="Times New Roman" w:hAnsi="Times New Roman"/>
          <w:i w:val="false"/>
          <w:iCs w:val="false"/>
          <w:color w:val="000000"/>
          <w:spacing w:val="28"/>
          <w:sz w:val="22"/>
          <w:szCs w:val="22"/>
          <w:shd w:fill="auto" w:val="clear"/>
        </w:rPr>
        <w:t xml:space="preserve"> </w:t>
      </w:r>
      <w:r>
        <w:rPr>
          <w:rStyle w:val="Domylnaczcionkaakapitu"/>
          <w:rFonts w:ascii="Times New Roman" w:hAnsi="Times New Roman"/>
          <w:i w:val="false"/>
          <w:iCs w:val="false"/>
          <w:color w:val="000000"/>
          <w:sz w:val="22"/>
          <w:szCs w:val="22"/>
          <w:shd w:fill="auto" w:val="clear"/>
        </w:rPr>
        <w:t>na</w:t>
      </w:r>
      <w:r>
        <w:rPr>
          <w:rStyle w:val="Domylnaczcionkaakapitu"/>
          <w:rFonts w:ascii="Times New Roman" w:hAnsi="Times New Roman"/>
          <w:i w:val="false"/>
          <w:iCs w:val="false"/>
          <w:color w:val="000000"/>
          <w:spacing w:val="-2"/>
          <w:sz w:val="22"/>
          <w:szCs w:val="22"/>
          <w:shd w:fill="auto" w:val="clear"/>
        </w:rPr>
        <w:t xml:space="preserve"> </w:t>
      </w:r>
      <w:r>
        <w:rPr>
          <w:rStyle w:val="Domylnaczcionkaakapitu"/>
          <w:rFonts w:ascii="Times New Roman" w:hAnsi="Times New Roman"/>
          <w:i w:val="false"/>
          <w:iCs w:val="false"/>
          <w:color w:val="000000"/>
          <w:sz w:val="22"/>
          <w:szCs w:val="22"/>
          <w:shd w:fill="auto" w:val="clear"/>
        </w:rPr>
        <w:t>stałe</w:t>
      </w:r>
      <w:r>
        <w:rPr>
          <w:rStyle w:val="Domylnaczcionkaakapitu"/>
          <w:rFonts w:ascii="Times New Roman" w:hAnsi="Times New Roman"/>
          <w:i w:val="false"/>
          <w:iCs w:val="false"/>
          <w:color w:val="000000"/>
          <w:spacing w:val="-8"/>
          <w:sz w:val="22"/>
          <w:szCs w:val="22"/>
          <w:shd w:fill="auto" w:val="clear"/>
        </w:rPr>
        <w:t xml:space="preserve"> </w:t>
      </w:r>
      <w:r>
        <w:rPr>
          <w:rStyle w:val="Domylnaczcionkaakapitu"/>
          <w:rFonts w:ascii="Times New Roman" w:hAnsi="Times New Roman"/>
          <w:i w:val="false"/>
          <w:iCs w:val="false"/>
          <w:color w:val="000000"/>
          <w:sz w:val="22"/>
          <w:szCs w:val="22"/>
          <w:shd w:fill="auto" w:val="clear"/>
        </w:rPr>
        <w:t>- po przeciwnej</w:t>
      </w:r>
      <w:r>
        <w:rPr>
          <w:rStyle w:val="Domylnaczcionkaakapitu"/>
          <w:rFonts w:ascii="Times New Roman" w:hAnsi="Times New Roman"/>
          <w:i w:val="false"/>
          <w:iCs w:val="false"/>
          <w:color w:val="000000"/>
          <w:spacing w:val="21"/>
          <w:sz w:val="22"/>
          <w:szCs w:val="22"/>
          <w:shd w:fill="auto" w:val="clear"/>
        </w:rPr>
        <w:t xml:space="preserve"> </w:t>
      </w:r>
      <w:r>
        <w:rPr>
          <w:rStyle w:val="Domylnaczcionkaakapitu"/>
          <w:rFonts w:ascii="Times New Roman" w:hAnsi="Times New Roman"/>
          <w:i w:val="false"/>
          <w:iCs w:val="false"/>
          <w:color w:val="000000"/>
          <w:sz w:val="22"/>
          <w:szCs w:val="22"/>
          <w:shd w:fill="auto" w:val="clear"/>
        </w:rPr>
        <w:t>stronie</w:t>
      </w:r>
      <w:r>
        <w:rPr>
          <w:rStyle w:val="Domylnaczcionkaakapitu"/>
          <w:rFonts w:ascii="Times New Roman" w:hAnsi="Times New Roman"/>
          <w:i w:val="false"/>
          <w:iCs w:val="false"/>
          <w:color w:val="000000"/>
          <w:spacing w:val="19"/>
          <w:sz w:val="22"/>
          <w:szCs w:val="22"/>
          <w:shd w:fill="auto" w:val="clear"/>
        </w:rPr>
        <w:t xml:space="preserve"> </w:t>
      </w:r>
      <w:r>
        <w:rPr>
          <w:rStyle w:val="Domylnaczcionkaakapitu"/>
          <w:rFonts w:ascii="Times New Roman" w:hAnsi="Times New Roman"/>
          <w:i w:val="false"/>
          <w:iCs w:val="false"/>
          <w:color w:val="000000"/>
          <w:sz w:val="22"/>
          <w:szCs w:val="22"/>
          <w:shd w:fill="auto" w:val="clear"/>
        </w:rPr>
        <w:t>względem</w:t>
      </w:r>
      <w:r>
        <w:rPr>
          <w:rStyle w:val="Domylnaczcionkaakapitu"/>
          <w:rFonts w:ascii="Times New Roman" w:hAnsi="Times New Roman"/>
          <w:i w:val="false"/>
          <w:iCs w:val="false"/>
          <w:color w:val="000000"/>
          <w:spacing w:val="22"/>
          <w:sz w:val="22"/>
          <w:szCs w:val="22"/>
          <w:shd w:fill="auto" w:val="clear"/>
        </w:rPr>
        <w:t xml:space="preserve"> </w:t>
      </w:r>
      <w:r>
        <w:rPr>
          <w:rStyle w:val="Domylnaczcionkaakapitu"/>
          <w:rFonts w:ascii="Times New Roman" w:hAnsi="Times New Roman"/>
          <w:i w:val="false"/>
          <w:iCs w:val="false"/>
          <w:color w:val="000000"/>
          <w:sz w:val="22"/>
          <w:szCs w:val="22"/>
          <w:shd w:fill="auto" w:val="clear"/>
        </w:rPr>
        <w:t>miejsca odstawczego,</w:t>
      </w:r>
      <w:r>
        <w:rPr>
          <w:rStyle w:val="Domylnaczcionkaakapitu"/>
          <w:rFonts w:ascii="Times New Roman" w:hAnsi="Times New Roman"/>
          <w:i w:val="false"/>
          <w:iCs w:val="false"/>
          <w:color w:val="000000"/>
          <w:spacing w:val="40"/>
          <w:sz w:val="22"/>
          <w:szCs w:val="22"/>
          <w:shd w:fill="auto" w:val="clear"/>
        </w:rPr>
        <w:t xml:space="preserve"> </w:t>
      </w:r>
      <w:r>
        <w:rPr>
          <w:rStyle w:val="Domylnaczcionkaakapitu"/>
          <w:rFonts w:ascii="Times New Roman" w:hAnsi="Times New Roman"/>
          <w:i w:val="false"/>
          <w:iCs w:val="false"/>
          <w:color w:val="000000"/>
          <w:sz w:val="22"/>
          <w:szCs w:val="22"/>
          <w:shd w:fill="auto" w:val="clear"/>
        </w:rPr>
        <w:t>na wysokości</w:t>
      </w:r>
      <w:r>
        <w:rPr>
          <w:rStyle w:val="Domylnaczcionkaakapitu"/>
          <w:rFonts w:ascii="Times New Roman" w:hAnsi="Times New Roman"/>
          <w:i w:val="false"/>
          <w:iCs w:val="false"/>
          <w:color w:val="000000"/>
          <w:spacing w:val="25"/>
          <w:sz w:val="22"/>
          <w:szCs w:val="22"/>
          <w:shd w:fill="auto" w:val="clear"/>
        </w:rPr>
        <w:t xml:space="preserve"> </w:t>
      </w:r>
      <w:r>
        <w:rPr>
          <w:rStyle w:val="Domylnaczcionkaakapitu"/>
          <w:rFonts w:ascii="Times New Roman" w:hAnsi="Times New Roman"/>
          <w:i w:val="false"/>
          <w:iCs w:val="false"/>
          <w:color w:val="000000"/>
          <w:sz w:val="22"/>
          <w:szCs w:val="22"/>
          <w:shd w:fill="auto" w:val="clear"/>
        </w:rPr>
        <w:t>70-85</w:t>
      </w:r>
      <w:r>
        <w:rPr>
          <w:rStyle w:val="Domylnaczcionkaakapitu"/>
          <w:rFonts w:ascii="Times New Roman" w:hAnsi="Times New Roman"/>
          <w:i w:val="false"/>
          <w:iCs w:val="false"/>
          <w:color w:val="000000"/>
          <w:spacing w:val="20"/>
          <w:sz w:val="22"/>
          <w:szCs w:val="22"/>
          <w:shd w:fill="auto" w:val="clear"/>
        </w:rPr>
        <w:t xml:space="preserve"> </w:t>
      </w:r>
      <w:r>
        <w:rPr>
          <w:rStyle w:val="Domylnaczcionkaakapitu"/>
          <w:rFonts w:ascii="Times New Roman" w:hAnsi="Times New Roman"/>
          <w:i w:val="false"/>
          <w:iCs w:val="false"/>
          <w:color w:val="000000"/>
          <w:sz w:val="22"/>
          <w:szCs w:val="22"/>
          <w:shd w:fill="auto" w:val="clear"/>
        </w:rPr>
        <w:t>cm od</w:t>
      </w:r>
      <w:r>
        <w:rPr>
          <w:rStyle w:val="Domylnaczcionkaakapitu"/>
          <w:rFonts w:ascii="Times New Roman" w:hAnsi="Times New Roman"/>
          <w:i w:val="false"/>
          <w:iCs w:val="false"/>
          <w:color w:val="000000"/>
          <w:spacing w:val="-5"/>
          <w:sz w:val="22"/>
          <w:szCs w:val="22"/>
          <w:shd w:fill="auto" w:val="clear"/>
        </w:rPr>
        <w:t xml:space="preserve"> </w:t>
      </w:r>
      <w:r>
        <w:rPr>
          <w:rStyle w:val="Domylnaczcionkaakapitu"/>
          <w:rFonts w:ascii="Times New Roman" w:hAnsi="Times New Roman"/>
          <w:i w:val="false"/>
          <w:iCs w:val="false"/>
          <w:color w:val="000000"/>
          <w:sz w:val="22"/>
          <w:szCs w:val="22"/>
          <w:shd w:fill="auto" w:val="clear"/>
        </w:rPr>
        <w:t>posadzki, długości</w:t>
      </w:r>
      <w:r>
        <w:rPr>
          <w:rStyle w:val="Domylnaczcionkaakapitu"/>
          <w:rFonts w:ascii="Times New Roman" w:hAnsi="Times New Roman"/>
          <w:i w:val="false"/>
          <w:iCs w:val="false"/>
          <w:color w:val="000000"/>
          <w:spacing w:val="-3"/>
          <w:sz w:val="22"/>
          <w:szCs w:val="22"/>
          <w:shd w:fill="auto" w:val="clear"/>
        </w:rPr>
        <w:t xml:space="preserve"> </w:t>
      </w:r>
      <w:r>
        <w:rPr>
          <w:rStyle w:val="Domylnaczcionkaakapitu"/>
          <w:rFonts w:ascii="Times New Roman" w:hAnsi="Times New Roman"/>
          <w:i w:val="false"/>
          <w:iCs w:val="false"/>
          <w:color w:val="000000"/>
          <w:sz w:val="22"/>
          <w:szCs w:val="22"/>
          <w:shd w:fill="auto" w:val="clear"/>
        </w:rPr>
        <w:t>minimum 80</w:t>
      </w:r>
      <w:r>
        <w:rPr>
          <w:rStyle w:val="Domylnaczcionkaakapitu"/>
          <w:rFonts w:ascii="Times New Roman" w:hAnsi="Times New Roman"/>
          <w:i w:val="false"/>
          <w:iCs w:val="false"/>
          <w:color w:val="000000"/>
          <w:spacing w:val="-4"/>
          <w:sz w:val="22"/>
          <w:szCs w:val="22"/>
          <w:shd w:fill="auto" w:val="clear"/>
        </w:rPr>
        <w:t xml:space="preserve"> </w:t>
      </w:r>
      <w:r>
        <w:rPr>
          <w:rStyle w:val="Domylnaczcionkaakapitu"/>
          <w:rFonts w:ascii="Times New Roman" w:hAnsi="Times New Roman"/>
          <w:i w:val="false"/>
          <w:iCs w:val="false"/>
          <w:color w:val="000000"/>
          <w:sz w:val="22"/>
          <w:szCs w:val="22"/>
          <w:shd w:fill="auto" w:val="clear"/>
        </w:rPr>
        <w:t>cm, mocowane 20-30</w:t>
      </w:r>
      <w:r>
        <w:rPr>
          <w:rStyle w:val="Domylnaczcionkaakapitu"/>
          <w:rFonts w:ascii="Times New Roman" w:hAnsi="Times New Roman"/>
          <w:i w:val="false"/>
          <w:iCs w:val="false"/>
          <w:color w:val="000000"/>
          <w:spacing w:val="-4"/>
          <w:sz w:val="22"/>
          <w:szCs w:val="22"/>
          <w:shd w:fill="auto" w:val="clear"/>
        </w:rPr>
        <w:t xml:space="preserve"> </w:t>
      </w:r>
      <w:r>
        <w:rPr>
          <w:rStyle w:val="Domylnaczcionkaakapitu"/>
          <w:rFonts w:ascii="Times New Roman" w:hAnsi="Times New Roman"/>
          <w:i w:val="false"/>
          <w:iCs w:val="false"/>
          <w:color w:val="000000"/>
          <w:sz w:val="22"/>
          <w:szCs w:val="22"/>
          <w:shd w:fill="auto" w:val="clear"/>
        </w:rPr>
        <w:t>cm</w:t>
      </w:r>
      <w:r>
        <w:rPr>
          <w:rStyle w:val="Domylnaczcionkaakapitu"/>
          <w:rFonts w:ascii="Times New Roman" w:hAnsi="Times New Roman"/>
          <w:i w:val="false"/>
          <w:iCs w:val="false"/>
          <w:color w:val="000000"/>
          <w:spacing w:val="19"/>
          <w:position w:val="12"/>
          <w:sz w:val="22"/>
          <w:szCs w:val="22"/>
          <w:shd w:fill="auto" w:val="clear"/>
        </w:rPr>
        <w:t xml:space="preserve"> </w:t>
      </w:r>
      <w:r>
        <w:rPr>
          <w:rStyle w:val="Domylnaczcionkaakapitu"/>
          <w:rFonts w:ascii="Times New Roman" w:hAnsi="Times New Roman"/>
          <w:i w:val="false"/>
          <w:iCs w:val="false"/>
          <w:color w:val="000000"/>
          <w:sz w:val="22"/>
          <w:szCs w:val="22"/>
          <w:shd w:fill="auto" w:val="clear"/>
        </w:rPr>
        <w:t>od</w:t>
      </w:r>
      <w:r>
        <w:rPr>
          <w:rStyle w:val="Domylnaczcionkaakapitu"/>
          <w:rFonts w:ascii="Times New Roman" w:hAnsi="Times New Roman"/>
          <w:i w:val="false"/>
          <w:iCs w:val="false"/>
          <w:color w:val="000000"/>
          <w:spacing w:val="-2"/>
          <w:sz w:val="22"/>
          <w:szCs w:val="22"/>
          <w:shd w:fill="auto" w:val="clear"/>
        </w:rPr>
        <w:t xml:space="preserve"> </w:t>
      </w:r>
      <w:r>
        <w:rPr>
          <w:rStyle w:val="Domylnaczcionkaakapitu"/>
          <w:rFonts w:ascii="Times New Roman" w:hAnsi="Times New Roman"/>
          <w:i w:val="false"/>
          <w:iCs w:val="false"/>
          <w:color w:val="000000"/>
          <w:sz w:val="22"/>
          <w:szCs w:val="22"/>
          <w:shd w:fill="auto" w:val="clear"/>
        </w:rPr>
        <w:t>ściany za</w:t>
      </w:r>
      <w:r>
        <w:rPr>
          <w:rStyle w:val="Domylnaczcionkaakapitu"/>
          <w:rFonts w:ascii="Times New Roman" w:hAnsi="Times New Roman"/>
          <w:i w:val="false"/>
          <w:iCs w:val="false"/>
          <w:color w:val="000000"/>
          <w:spacing w:val="-9"/>
          <w:sz w:val="22"/>
          <w:szCs w:val="22"/>
          <w:shd w:fill="auto" w:val="clear"/>
        </w:rPr>
        <w:t xml:space="preserve"> </w:t>
      </w:r>
      <w:r>
        <w:rPr>
          <w:rStyle w:val="Domylnaczcionkaakapitu"/>
          <w:rFonts w:ascii="Times New Roman" w:hAnsi="Times New Roman"/>
          <w:i w:val="false"/>
          <w:iCs w:val="false"/>
          <w:color w:val="000000"/>
          <w:sz w:val="22"/>
          <w:szCs w:val="22"/>
          <w:shd w:fill="auto" w:val="clear"/>
        </w:rPr>
        <w:t>miską ustępową.</w:t>
      </w:r>
    </w:p>
    <w:p>
      <w:pPr>
        <w:pStyle w:val="Normal"/>
        <w:tabs>
          <w:tab w:val="clear" w:pos="708"/>
        </w:tabs>
        <w:spacing w:before="129" w:after="0"/>
        <w:ind w:hanging="0" w:left="521" w:right="0"/>
        <w:rPr/>
      </w:pPr>
      <w:r>
        <w:rPr>
          <w:rStyle w:val="Domylnaczcionkaakapitu"/>
          <w:b/>
          <w:bCs/>
          <w:i w:val="false"/>
          <w:iCs w:val="false"/>
          <w:color w:val="000000"/>
          <w:spacing w:val="-2"/>
          <w:w w:val="105"/>
          <w:sz w:val="22"/>
          <w:szCs w:val="22"/>
          <w:shd w:fill="auto" w:val="clear"/>
        </w:rPr>
        <w:t>Spłuczka:</w:t>
      </w:r>
    </w:p>
    <w:p>
      <w:pPr>
        <w:pStyle w:val="Akapitzlist"/>
        <w:numPr>
          <w:ilvl w:val="1"/>
          <w:numId w:val="3"/>
        </w:numPr>
        <w:tabs>
          <w:tab w:val="left" w:pos="797" w:leader="none"/>
          <w:tab w:val="left" w:pos="800" w:leader="none"/>
          <w:tab w:val="left" w:pos="4508" w:leader="none"/>
        </w:tabs>
        <w:spacing w:lineRule="auto" w:line="276" w:before="259" w:after="0"/>
        <w:ind w:hanging="283" w:left="797" w:right="1722"/>
        <w:rPr/>
      </w:pPr>
      <w:r>
        <w:rPr>
          <w:rStyle w:val="Domylnaczcionkaakapitu"/>
          <w:rFonts w:ascii="Times New Roman" w:hAnsi="Times New Roman"/>
          <w:i w:val="false"/>
          <w:iCs w:val="false"/>
          <w:color w:val="000000"/>
          <w:sz w:val="22"/>
          <w:szCs w:val="22"/>
          <w:shd w:fill="auto" w:val="clear"/>
        </w:rPr>
        <w:t>uruchamianie spłuczki odbywa się  ręcznie, za pomocą przycisku zamontowanego z boku WC</w:t>
      </w:r>
    </w:p>
    <w:p>
      <w:pPr>
        <w:pStyle w:val="Akapitzlist"/>
        <w:numPr>
          <w:ilvl w:val="1"/>
          <w:numId w:val="3"/>
        </w:numPr>
        <w:tabs>
          <w:tab w:val="left" w:pos="800" w:leader="none"/>
        </w:tabs>
        <w:suppressAutoHyphens w:val="true"/>
        <w:spacing w:lineRule="auto" w:line="276" w:before="139" w:after="0"/>
        <w:ind w:hanging="285" w:left="800" w:right="1334"/>
        <w:rPr/>
      </w:pPr>
      <w:r>
        <w:rPr>
          <w:rStyle w:val="Domylnaczcionkaakapitu"/>
          <w:rFonts w:ascii="Times New Roman" w:hAnsi="Times New Roman"/>
          <w:i w:val="false"/>
          <w:iCs w:val="false"/>
          <w:color w:val="000000"/>
          <w:sz w:val="22"/>
          <w:szCs w:val="22"/>
          <w:shd w:fill="auto" w:val="clear"/>
        </w:rPr>
        <w:t>podajnik papieru</w:t>
      </w:r>
      <w:r>
        <w:rPr>
          <w:rStyle w:val="Domylnaczcionkaakapitu"/>
          <w:rFonts w:ascii="Times New Roman" w:hAnsi="Times New Roman"/>
          <w:i w:val="false"/>
          <w:iCs w:val="false"/>
          <w:color w:val="000000"/>
          <w:spacing w:val="-3"/>
          <w:sz w:val="22"/>
          <w:szCs w:val="22"/>
          <w:shd w:fill="auto" w:val="clear"/>
        </w:rPr>
        <w:t xml:space="preserve"> </w:t>
      </w:r>
      <w:r>
        <w:rPr>
          <w:rStyle w:val="Domylnaczcionkaakapitu"/>
          <w:rFonts w:ascii="Times New Roman" w:hAnsi="Times New Roman"/>
          <w:i w:val="false"/>
          <w:iCs w:val="false"/>
          <w:color w:val="000000"/>
          <w:sz w:val="22"/>
          <w:szCs w:val="22"/>
          <w:shd w:fill="auto" w:val="clear"/>
        </w:rPr>
        <w:t>toaletowego znajduje się</w:t>
      </w:r>
      <w:r>
        <w:rPr>
          <w:rStyle w:val="Domylnaczcionkaakapitu"/>
          <w:rFonts w:ascii="Times New Roman" w:hAnsi="Times New Roman"/>
          <w:i w:val="false"/>
          <w:iCs w:val="false"/>
          <w:color w:val="000000"/>
          <w:spacing w:val="80"/>
          <w:sz w:val="22"/>
          <w:szCs w:val="22"/>
          <w:shd w:fill="auto" w:val="clear"/>
        </w:rPr>
        <w:t xml:space="preserve"> </w:t>
      </w:r>
      <w:r>
        <w:rPr>
          <w:rStyle w:val="Domylnaczcionkaakapitu"/>
          <w:rFonts w:ascii="Times New Roman" w:hAnsi="Times New Roman"/>
          <w:i w:val="false"/>
          <w:iCs w:val="false"/>
          <w:color w:val="000000"/>
          <w:sz w:val="22"/>
          <w:szCs w:val="22"/>
          <w:shd w:fill="auto" w:val="clear"/>
        </w:rPr>
        <w:t>na</w:t>
      </w:r>
      <w:r>
        <w:rPr>
          <w:rStyle w:val="Domylnaczcionkaakapitu"/>
          <w:rFonts w:ascii="Times New Roman" w:hAnsi="Times New Roman"/>
          <w:i w:val="false"/>
          <w:iCs w:val="false"/>
          <w:color w:val="000000"/>
          <w:spacing w:val="-11"/>
          <w:sz w:val="22"/>
          <w:szCs w:val="22"/>
          <w:shd w:fill="auto" w:val="clear"/>
        </w:rPr>
        <w:t xml:space="preserve"> </w:t>
      </w:r>
      <w:r>
        <w:rPr>
          <w:rStyle w:val="Domylnaczcionkaakapitu"/>
          <w:rFonts w:ascii="Times New Roman" w:hAnsi="Times New Roman"/>
          <w:i w:val="false"/>
          <w:iCs w:val="false"/>
          <w:color w:val="000000"/>
          <w:sz w:val="22"/>
          <w:szCs w:val="22"/>
          <w:shd w:fill="auto" w:val="clear"/>
        </w:rPr>
        <w:t>wysokości</w:t>
      </w:r>
      <w:r>
        <w:rPr>
          <w:rStyle w:val="Domylnaczcionkaakapitu"/>
          <w:rFonts w:ascii="Times New Roman" w:hAnsi="Times New Roman"/>
          <w:i w:val="false"/>
          <w:iCs w:val="false"/>
          <w:color w:val="000000"/>
          <w:spacing w:val="-2"/>
          <w:sz w:val="22"/>
          <w:szCs w:val="22"/>
          <w:shd w:fill="auto" w:val="clear"/>
        </w:rPr>
        <w:t xml:space="preserve"> </w:t>
      </w:r>
      <w:r>
        <w:rPr>
          <w:rStyle w:val="Domylnaczcionkaakapitu"/>
          <w:rFonts w:ascii="Times New Roman" w:hAnsi="Times New Roman"/>
          <w:i w:val="false"/>
          <w:iCs w:val="false"/>
          <w:color w:val="000000"/>
          <w:sz w:val="22"/>
          <w:szCs w:val="22"/>
          <w:shd w:fill="auto" w:val="clear"/>
        </w:rPr>
        <w:t>60-70 cm</w:t>
      </w:r>
      <w:r>
        <w:rPr>
          <w:rStyle w:val="Domylnaczcionkaakapitu"/>
          <w:rFonts w:ascii="Times New Roman" w:hAnsi="Times New Roman"/>
          <w:i w:val="false"/>
          <w:iCs w:val="false"/>
          <w:color w:val="000000"/>
          <w:spacing w:val="-8"/>
          <w:sz w:val="22"/>
          <w:szCs w:val="22"/>
          <w:shd w:fill="auto" w:val="clear"/>
        </w:rPr>
        <w:t xml:space="preserve"> </w:t>
      </w:r>
      <w:r>
        <w:rPr>
          <w:rStyle w:val="Domylnaczcionkaakapitu"/>
          <w:rFonts w:ascii="Times New Roman" w:hAnsi="Times New Roman"/>
          <w:i w:val="false"/>
          <w:iCs w:val="false"/>
          <w:color w:val="000000"/>
          <w:sz w:val="22"/>
          <w:szCs w:val="22"/>
          <w:shd w:fill="auto" w:val="clear"/>
        </w:rPr>
        <w:t>od</w:t>
      </w:r>
      <w:r>
        <w:rPr>
          <w:rStyle w:val="Domylnaczcionkaakapitu"/>
          <w:rFonts w:ascii="Times New Roman" w:hAnsi="Times New Roman"/>
          <w:i w:val="false"/>
          <w:iCs w:val="false"/>
          <w:color w:val="000000"/>
          <w:spacing w:val="-12"/>
          <w:sz w:val="22"/>
          <w:szCs w:val="22"/>
          <w:shd w:fill="auto" w:val="clear"/>
        </w:rPr>
        <w:t xml:space="preserve"> </w:t>
      </w:r>
      <w:r>
        <w:rPr>
          <w:rStyle w:val="Domylnaczcionkaakapitu"/>
          <w:rFonts w:ascii="Times New Roman" w:hAnsi="Times New Roman"/>
          <w:i w:val="false"/>
          <w:iCs w:val="false"/>
          <w:color w:val="000000"/>
          <w:sz w:val="22"/>
          <w:szCs w:val="22"/>
          <w:shd w:fill="auto" w:val="clear"/>
        </w:rPr>
        <w:t>posadzki, w okolicy przedniej krawędzi miski ustępowej.</w:t>
      </w:r>
    </w:p>
    <w:p>
      <w:pPr>
        <w:pStyle w:val="Normal"/>
        <w:tabs>
          <w:tab w:val="clear" w:pos="708"/>
        </w:tabs>
        <w:spacing w:before="130" w:after="0"/>
        <w:ind w:hanging="0" w:left="519" w:right="0"/>
        <w:rPr>
          <w:rFonts w:ascii="Times New Roman" w:hAnsi="Times New Roman"/>
          <w:b/>
          <w:bCs/>
          <w:i w:val="false"/>
          <w:iCs w:val="false"/>
          <w:color w:val="000000"/>
          <w:spacing w:val="-2"/>
          <w:sz w:val="22"/>
          <w:szCs w:val="22"/>
          <w:shd w:fill="auto" w:val="clear"/>
        </w:rPr>
      </w:pPr>
      <w:r>
        <w:rPr>
          <w:b/>
          <w:bCs/>
          <w:i w:val="false"/>
          <w:iCs w:val="false"/>
          <w:color w:val="000000"/>
          <w:spacing w:val="-2"/>
          <w:sz w:val="22"/>
          <w:szCs w:val="22"/>
          <w:shd w:fill="auto" w:val="clear"/>
        </w:rPr>
      </w:r>
    </w:p>
    <w:p>
      <w:pPr>
        <w:pStyle w:val="Normal"/>
        <w:tabs>
          <w:tab w:val="clear" w:pos="708"/>
        </w:tabs>
        <w:spacing w:before="130" w:after="0"/>
        <w:ind w:hanging="0" w:left="519" w:right="0"/>
        <w:rPr/>
      </w:pPr>
      <w:r>
        <w:rPr>
          <w:rStyle w:val="Domylnaczcionkaakapitu"/>
          <w:b/>
          <w:bCs/>
          <w:i w:val="false"/>
          <w:iCs w:val="false"/>
          <w:color w:val="000000"/>
          <w:spacing w:val="-2"/>
          <w:sz w:val="22"/>
          <w:szCs w:val="22"/>
          <w:shd w:fill="auto" w:val="clear"/>
        </w:rPr>
        <w:t>Umywalka:</w:t>
      </w:r>
    </w:p>
    <w:p>
      <w:pPr>
        <w:pStyle w:val="Akapitzlist"/>
        <w:numPr>
          <w:ilvl w:val="0"/>
          <w:numId w:val="45"/>
        </w:numPr>
        <w:tabs>
          <w:tab w:val="left" w:pos="801" w:leader="none"/>
        </w:tabs>
        <w:spacing w:before="245" w:after="0"/>
        <w:ind w:hanging="281" w:left="801" w:right="0"/>
        <w:rPr/>
      </w:pPr>
      <w:r>
        <w:rPr>
          <w:rStyle w:val="Domylnaczcionkaakapitu"/>
          <w:rFonts w:ascii="Times New Roman" w:hAnsi="Times New Roman"/>
          <w:i w:val="false"/>
          <w:iCs w:val="false"/>
          <w:color w:val="000000"/>
          <w:sz w:val="22"/>
          <w:szCs w:val="22"/>
          <w:shd w:fill="auto" w:val="clear"/>
        </w:rPr>
        <w:t>Wysokość</w:t>
      </w:r>
      <w:r>
        <w:rPr>
          <w:rStyle w:val="Domylnaczcionkaakapitu"/>
          <w:rFonts w:ascii="Times New Roman" w:hAnsi="Times New Roman"/>
          <w:i w:val="false"/>
          <w:iCs w:val="false"/>
          <w:color w:val="000000"/>
          <w:spacing w:val="3"/>
          <w:sz w:val="22"/>
          <w:szCs w:val="22"/>
          <w:shd w:fill="auto" w:val="clear"/>
        </w:rPr>
        <w:t xml:space="preserve"> </w:t>
      </w:r>
      <w:r>
        <w:rPr>
          <w:rStyle w:val="Domylnaczcionkaakapitu"/>
          <w:rFonts w:ascii="Times New Roman" w:hAnsi="Times New Roman"/>
          <w:i w:val="false"/>
          <w:iCs w:val="false"/>
          <w:color w:val="000000"/>
          <w:spacing w:val="-2"/>
          <w:sz w:val="22"/>
          <w:szCs w:val="22"/>
          <w:shd w:fill="auto" w:val="clear"/>
        </w:rPr>
        <w:t>umywalki:</w:t>
      </w:r>
    </w:p>
    <w:p>
      <w:pPr>
        <w:pStyle w:val="Akapitzlist"/>
        <w:numPr>
          <w:ilvl w:val="1"/>
          <w:numId w:val="29"/>
        </w:numPr>
        <w:tabs>
          <w:tab w:val="left" w:pos="1087" w:leader="none"/>
        </w:tabs>
        <w:spacing w:before="180" w:after="0"/>
        <w:ind w:hanging="289" w:left="1087" w:right="0"/>
        <w:rPr/>
      </w:pPr>
      <w:r>
        <w:rPr>
          <w:rStyle w:val="Domylnaczcionkaakapitu"/>
          <w:rFonts w:ascii="Times New Roman" w:hAnsi="Times New Roman"/>
          <w:i w:val="false"/>
          <w:iCs w:val="false"/>
          <w:color w:val="000000"/>
          <w:sz w:val="22"/>
          <w:szCs w:val="22"/>
          <w:shd w:fill="auto" w:val="clear"/>
        </w:rPr>
        <w:t>górna</w:t>
      </w:r>
      <w:r>
        <w:rPr>
          <w:rStyle w:val="Domylnaczcionkaakapitu"/>
          <w:rFonts w:ascii="Times New Roman" w:hAnsi="Times New Roman"/>
          <w:i w:val="false"/>
          <w:iCs w:val="false"/>
          <w:color w:val="000000"/>
          <w:spacing w:val="6"/>
          <w:sz w:val="22"/>
          <w:szCs w:val="22"/>
          <w:shd w:fill="auto" w:val="clear"/>
        </w:rPr>
        <w:t xml:space="preserve"> </w:t>
      </w:r>
      <w:r>
        <w:rPr>
          <w:rStyle w:val="Domylnaczcionkaakapitu"/>
          <w:rFonts w:ascii="Times New Roman" w:hAnsi="Times New Roman"/>
          <w:i w:val="false"/>
          <w:iCs w:val="false"/>
          <w:color w:val="000000"/>
          <w:sz w:val="22"/>
          <w:szCs w:val="22"/>
          <w:shd w:fill="auto" w:val="clear"/>
        </w:rPr>
        <w:t>kraw</w:t>
      </w:r>
      <w:r>
        <w:rPr>
          <w:rStyle w:val="Domylnaczcionkaakapitu"/>
          <w:rFonts w:ascii="Times New Roman" w:hAnsi="Times New Roman"/>
          <w:i w:val="false"/>
          <w:iCs w:val="false"/>
          <w:color w:val="000000"/>
          <w:spacing w:val="1"/>
          <w:sz w:val="22"/>
          <w:szCs w:val="22"/>
          <w:shd w:fill="auto" w:val="clear"/>
        </w:rPr>
        <w:t>ę</w:t>
      </w:r>
      <w:r>
        <w:rPr>
          <w:rStyle w:val="Domylnaczcionkaakapitu"/>
          <w:rFonts w:ascii="Times New Roman" w:hAnsi="Times New Roman"/>
          <w:i w:val="false"/>
          <w:iCs w:val="false"/>
          <w:color w:val="000000"/>
          <w:sz w:val="22"/>
          <w:szCs w:val="22"/>
          <w:shd w:fill="auto" w:val="clear"/>
        </w:rPr>
        <w:t>dź</w:t>
      </w:r>
      <w:r>
        <w:rPr>
          <w:rStyle w:val="Domylnaczcionkaakapitu"/>
          <w:rFonts w:ascii="Times New Roman" w:hAnsi="Times New Roman"/>
          <w:i w:val="false"/>
          <w:iCs w:val="false"/>
          <w:color w:val="000000"/>
          <w:spacing w:val="14"/>
          <w:sz w:val="22"/>
          <w:szCs w:val="22"/>
          <w:shd w:fill="auto" w:val="clear"/>
        </w:rPr>
        <w:t xml:space="preserve"> </w:t>
      </w:r>
      <w:r>
        <w:rPr>
          <w:rStyle w:val="Domylnaczcionkaakapitu"/>
          <w:rFonts w:ascii="Times New Roman" w:hAnsi="Times New Roman"/>
          <w:i w:val="false"/>
          <w:iCs w:val="false"/>
          <w:color w:val="000000"/>
          <w:sz w:val="22"/>
          <w:szCs w:val="22"/>
          <w:shd w:fill="auto" w:val="clear"/>
        </w:rPr>
        <w:t>na</w:t>
      </w:r>
      <w:r>
        <w:rPr>
          <w:rStyle w:val="Domylnaczcionkaakapitu"/>
          <w:rFonts w:ascii="Times New Roman" w:hAnsi="Times New Roman"/>
          <w:i w:val="false"/>
          <w:iCs w:val="false"/>
          <w:color w:val="000000"/>
          <w:spacing w:val="2"/>
          <w:sz w:val="22"/>
          <w:szCs w:val="22"/>
          <w:shd w:fill="auto" w:val="clear"/>
        </w:rPr>
        <w:t xml:space="preserve"> </w:t>
      </w:r>
      <w:r>
        <w:rPr>
          <w:rStyle w:val="Domylnaczcionkaakapitu"/>
          <w:rFonts w:ascii="Times New Roman" w:hAnsi="Times New Roman"/>
          <w:i w:val="false"/>
          <w:iCs w:val="false"/>
          <w:color w:val="000000"/>
          <w:sz w:val="22"/>
          <w:szCs w:val="22"/>
          <w:shd w:fill="auto" w:val="clear"/>
        </w:rPr>
        <w:t>wysokości</w:t>
      </w:r>
      <w:r>
        <w:rPr>
          <w:rStyle w:val="Domylnaczcionkaakapitu"/>
          <w:rFonts w:ascii="Times New Roman" w:hAnsi="Times New Roman"/>
          <w:i w:val="false"/>
          <w:iCs w:val="false"/>
          <w:color w:val="000000"/>
          <w:spacing w:val="8"/>
          <w:sz w:val="22"/>
          <w:szCs w:val="22"/>
          <w:shd w:fill="auto" w:val="clear"/>
        </w:rPr>
        <w:t xml:space="preserve"> </w:t>
      </w:r>
      <w:r>
        <w:rPr>
          <w:rStyle w:val="Domylnaczcionkaakapitu"/>
          <w:rFonts w:ascii="Times New Roman" w:hAnsi="Times New Roman"/>
          <w:i w:val="false"/>
          <w:iCs w:val="false"/>
          <w:color w:val="000000"/>
          <w:sz w:val="22"/>
          <w:szCs w:val="22"/>
          <w:shd w:fill="auto" w:val="clear"/>
        </w:rPr>
        <w:t>75-85</w:t>
      </w:r>
      <w:r>
        <w:rPr>
          <w:rStyle w:val="Domylnaczcionkaakapitu"/>
          <w:rFonts w:ascii="Times New Roman" w:hAnsi="Times New Roman"/>
          <w:i w:val="false"/>
          <w:iCs w:val="false"/>
          <w:color w:val="000000"/>
          <w:spacing w:val="13"/>
          <w:sz w:val="22"/>
          <w:szCs w:val="22"/>
          <w:shd w:fill="auto" w:val="clear"/>
        </w:rPr>
        <w:t xml:space="preserve"> </w:t>
      </w:r>
      <w:r>
        <w:rPr>
          <w:rStyle w:val="Domylnaczcionkaakapitu"/>
          <w:rFonts w:ascii="Times New Roman" w:hAnsi="Times New Roman"/>
          <w:i w:val="false"/>
          <w:iCs w:val="false"/>
          <w:color w:val="000000"/>
          <w:sz w:val="22"/>
          <w:szCs w:val="22"/>
          <w:shd w:fill="auto" w:val="clear"/>
        </w:rPr>
        <w:t>cm od</w:t>
      </w:r>
      <w:r>
        <w:rPr>
          <w:rStyle w:val="Domylnaczcionkaakapitu"/>
          <w:rFonts w:ascii="Times New Roman" w:hAnsi="Times New Roman"/>
          <w:i w:val="false"/>
          <w:iCs w:val="false"/>
          <w:color w:val="000000"/>
          <w:spacing w:val="1"/>
          <w:sz w:val="22"/>
          <w:szCs w:val="22"/>
          <w:shd w:fill="auto" w:val="clear"/>
        </w:rPr>
        <w:t xml:space="preserve"> </w:t>
      </w:r>
      <w:r>
        <w:rPr>
          <w:rStyle w:val="Domylnaczcionkaakapitu"/>
          <w:rFonts w:ascii="Times New Roman" w:hAnsi="Times New Roman"/>
          <w:i w:val="false"/>
          <w:iCs w:val="false"/>
          <w:color w:val="000000"/>
          <w:spacing w:val="-2"/>
          <w:sz w:val="22"/>
          <w:szCs w:val="22"/>
          <w:shd w:fill="auto" w:val="clear"/>
        </w:rPr>
        <w:t>posadzki,</w:t>
      </w:r>
    </w:p>
    <w:p>
      <w:pPr>
        <w:pStyle w:val="Akapitzlist"/>
        <w:numPr>
          <w:ilvl w:val="1"/>
          <w:numId w:val="29"/>
        </w:numPr>
        <w:tabs>
          <w:tab w:val="left" w:pos="1086" w:leader="none"/>
        </w:tabs>
        <w:spacing w:before="176" w:after="0"/>
        <w:ind w:hanging="288" w:left="1086" w:right="0"/>
        <w:rPr/>
      </w:pPr>
      <w:r>
        <w:rPr>
          <w:rStyle w:val="Domylnaczcionkaakapitu"/>
          <w:rFonts w:ascii="Times New Roman" w:hAnsi="Times New Roman"/>
          <w:i w:val="false"/>
          <w:iCs w:val="false"/>
          <w:color w:val="000000"/>
          <w:sz w:val="22"/>
          <w:szCs w:val="22"/>
          <w:shd w:fill="auto" w:val="clear"/>
        </w:rPr>
        <w:t>dolna</w:t>
      </w:r>
      <w:r>
        <w:rPr>
          <w:rStyle w:val="Domylnaczcionkaakapitu"/>
          <w:rFonts w:ascii="Times New Roman" w:hAnsi="Times New Roman"/>
          <w:i w:val="false"/>
          <w:iCs w:val="false"/>
          <w:color w:val="000000"/>
          <w:spacing w:val="6"/>
          <w:sz w:val="22"/>
          <w:szCs w:val="22"/>
          <w:shd w:fill="auto" w:val="clear"/>
        </w:rPr>
        <w:t xml:space="preserve"> </w:t>
      </w:r>
      <w:r>
        <w:rPr>
          <w:rStyle w:val="Domylnaczcionkaakapitu"/>
          <w:rFonts w:ascii="Times New Roman" w:hAnsi="Times New Roman"/>
          <w:i w:val="false"/>
          <w:iCs w:val="false"/>
          <w:color w:val="000000"/>
          <w:sz w:val="22"/>
          <w:szCs w:val="22"/>
          <w:shd w:fill="auto" w:val="clear"/>
        </w:rPr>
        <w:t>kraw</w:t>
      </w:r>
      <w:r>
        <w:rPr>
          <w:rStyle w:val="Domylnaczcionkaakapitu"/>
          <w:rFonts w:ascii="Times New Roman" w:hAnsi="Times New Roman"/>
          <w:i w:val="false"/>
          <w:iCs w:val="false"/>
          <w:color w:val="000000"/>
          <w:spacing w:val="5"/>
          <w:sz w:val="22"/>
          <w:szCs w:val="22"/>
          <w:shd w:fill="auto" w:val="clear"/>
        </w:rPr>
        <w:t>ę</w:t>
      </w:r>
      <w:r>
        <w:rPr>
          <w:rStyle w:val="Domylnaczcionkaakapitu"/>
          <w:rFonts w:ascii="Times New Roman" w:hAnsi="Times New Roman"/>
          <w:i w:val="false"/>
          <w:iCs w:val="false"/>
          <w:color w:val="000000"/>
          <w:sz w:val="22"/>
          <w:szCs w:val="22"/>
          <w:shd w:fill="auto" w:val="clear"/>
        </w:rPr>
        <w:t>dź</w:t>
      </w:r>
      <w:r>
        <w:rPr>
          <w:rStyle w:val="Domylnaczcionkaakapitu"/>
          <w:rFonts w:ascii="Times New Roman" w:hAnsi="Times New Roman"/>
          <w:i w:val="false"/>
          <w:iCs w:val="false"/>
          <w:color w:val="000000"/>
          <w:spacing w:val="10"/>
          <w:sz w:val="22"/>
          <w:szCs w:val="22"/>
          <w:shd w:fill="auto" w:val="clear"/>
        </w:rPr>
        <w:t xml:space="preserve"> </w:t>
      </w:r>
      <w:r>
        <w:rPr>
          <w:rStyle w:val="Domylnaczcionkaakapitu"/>
          <w:rFonts w:ascii="Times New Roman" w:hAnsi="Times New Roman"/>
          <w:i w:val="false"/>
          <w:iCs w:val="false"/>
          <w:color w:val="000000"/>
          <w:sz w:val="22"/>
          <w:szCs w:val="22"/>
          <w:shd w:fill="auto" w:val="clear"/>
        </w:rPr>
        <w:t>nie</w:t>
      </w:r>
      <w:r>
        <w:rPr>
          <w:rStyle w:val="Domylnaczcionkaakapitu"/>
          <w:rFonts w:ascii="Times New Roman" w:hAnsi="Times New Roman"/>
          <w:i w:val="false"/>
          <w:iCs w:val="false"/>
          <w:color w:val="000000"/>
          <w:spacing w:val="-1"/>
          <w:sz w:val="22"/>
          <w:szCs w:val="22"/>
          <w:shd w:fill="auto" w:val="clear"/>
        </w:rPr>
        <w:t xml:space="preserve"> </w:t>
      </w:r>
      <w:r>
        <w:rPr>
          <w:rStyle w:val="Domylnaczcionkaakapitu"/>
          <w:rFonts w:ascii="Times New Roman" w:hAnsi="Times New Roman"/>
          <w:i w:val="false"/>
          <w:iCs w:val="false"/>
          <w:color w:val="000000"/>
          <w:sz w:val="22"/>
          <w:szCs w:val="22"/>
          <w:shd w:fill="auto" w:val="clear"/>
        </w:rPr>
        <w:t>niżej</w:t>
      </w:r>
      <w:r>
        <w:rPr>
          <w:rStyle w:val="Domylnaczcionkaakapitu"/>
          <w:rFonts w:ascii="Times New Roman" w:hAnsi="Times New Roman"/>
          <w:i w:val="false"/>
          <w:iCs w:val="false"/>
          <w:color w:val="000000"/>
          <w:spacing w:val="7"/>
          <w:sz w:val="22"/>
          <w:szCs w:val="22"/>
          <w:shd w:fill="auto" w:val="clear"/>
        </w:rPr>
        <w:t xml:space="preserve"> </w:t>
      </w:r>
      <w:r>
        <w:rPr>
          <w:rStyle w:val="Domylnaczcionkaakapitu"/>
          <w:rFonts w:ascii="Times New Roman" w:hAnsi="Times New Roman"/>
          <w:i w:val="false"/>
          <w:iCs w:val="false"/>
          <w:color w:val="000000"/>
          <w:sz w:val="22"/>
          <w:szCs w:val="22"/>
          <w:shd w:fill="auto" w:val="clear"/>
        </w:rPr>
        <w:t>niż</w:t>
      </w:r>
      <w:r>
        <w:rPr>
          <w:rStyle w:val="Domylnaczcionkaakapitu"/>
          <w:rFonts w:ascii="Times New Roman" w:hAnsi="Times New Roman"/>
          <w:i w:val="false"/>
          <w:iCs w:val="false"/>
          <w:color w:val="000000"/>
          <w:spacing w:val="2"/>
          <w:sz w:val="22"/>
          <w:szCs w:val="22"/>
          <w:shd w:fill="auto" w:val="clear"/>
        </w:rPr>
        <w:t xml:space="preserve"> </w:t>
      </w:r>
      <w:r>
        <w:rPr>
          <w:rStyle w:val="Domylnaczcionkaakapitu"/>
          <w:rFonts w:ascii="Times New Roman" w:hAnsi="Times New Roman"/>
          <w:i w:val="false"/>
          <w:iCs w:val="false"/>
          <w:color w:val="000000"/>
          <w:sz w:val="22"/>
          <w:szCs w:val="22"/>
          <w:shd w:fill="auto" w:val="clear"/>
        </w:rPr>
        <w:t>60-70</w:t>
      </w:r>
      <w:r>
        <w:rPr>
          <w:rStyle w:val="Domylnaczcionkaakapitu"/>
          <w:rFonts w:ascii="Times New Roman" w:hAnsi="Times New Roman"/>
          <w:i w:val="false"/>
          <w:iCs w:val="false"/>
          <w:color w:val="000000"/>
          <w:spacing w:val="11"/>
          <w:sz w:val="22"/>
          <w:szCs w:val="22"/>
          <w:shd w:fill="auto" w:val="clear"/>
        </w:rPr>
        <w:t xml:space="preserve"> </w:t>
      </w:r>
      <w:r>
        <w:rPr>
          <w:rStyle w:val="Domylnaczcionkaakapitu"/>
          <w:rFonts w:ascii="Times New Roman" w:hAnsi="Times New Roman"/>
          <w:i w:val="false"/>
          <w:iCs w:val="false"/>
          <w:color w:val="000000"/>
          <w:sz w:val="22"/>
          <w:szCs w:val="22"/>
          <w:shd w:fill="auto" w:val="clear"/>
        </w:rPr>
        <w:t>cm</w:t>
      </w:r>
      <w:r>
        <w:rPr>
          <w:rStyle w:val="Domylnaczcionkaakapitu"/>
          <w:rFonts w:ascii="Times New Roman" w:hAnsi="Times New Roman"/>
          <w:i w:val="false"/>
          <w:iCs w:val="false"/>
          <w:color w:val="000000"/>
          <w:spacing w:val="3"/>
          <w:sz w:val="22"/>
          <w:szCs w:val="22"/>
          <w:shd w:fill="auto" w:val="clear"/>
        </w:rPr>
        <w:t xml:space="preserve"> </w:t>
      </w:r>
      <w:r>
        <w:rPr>
          <w:rStyle w:val="Domylnaczcionkaakapitu"/>
          <w:rFonts w:ascii="Times New Roman" w:hAnsi="Times New Roman"/>
          <w:i w:val="false"/>
          <w:iCs w:val="false"/>
          <w:color w:val="000000"/>
          <w:sz w:val="22"/>
          <w:szCs w:val="22"/>
          <w:shd w:fill="auto" w:val="clear"/>
        </w:rPr>
        <w:t>od</w:t>
      </w:r>
      <w:r>
        <w:rPr>
          <w:rStyle w:val="Domylnaczcionkaakapitu"/>
          <w:rFonts w:ascii="Times New Roman" w:hAnsi="Times New Roman"/>
          <w:i w:val="false"/>
          <w:iCs w:val="false"/>
          <w:color w:val="000000"/>
          <w:spacing w:val="3"/>
          <w:sz w:val="22"/>
          <w:szCs w:val="22"/>
          <w:shd w:fill="auto" w:val="clear"/>
        </w:rPr>
        <w:t xml:space="preserve"> </w:t>
      </w:r>
      <w:r>
        <w:rPr>
          <w:rStyle w:val="Domylnaczcionkaakapitu"/>
          <w:rFonts w:ascii="Times New Roman" w:hAnsi="Times New Roman"/>
          <w:i w:val="false"/>
          <w:iCs w:val="false"/>
          <w:color w:val="000000"/>
          <w:spacing w:val="-2"/>
          <w:sz w:val="22"/>
          <w:szCs w:val="22"/>
          <w:shd w:fill="auto" w:val="clear"/>
        </w:rPr>
        <w:t>posadzki.</w:t>
      </w:r>
    </w:p>
    <w:p>
      <w:pPr>
        <w:pStyle w:val="Akapitzlist"/>
        <w:numPr>
          <w:ilvl w:val="1"/>
          <w:numId w:val="29"/>
        </w:numPr>
        <w:tabs>
          <w:tab w:val="left" w:pos="1084" w:leader="none"/>
        </w:tabs>
        <w:suppressAutoHyphens w:val="true"/>
        <w:spacing w:lineRule="auto" w:line="276" w:before="176" w:after="0"/>
        <w:ind w:hanging="286" w:left="1005" w:right="1251"/>
        <w:rPr/>
      </w:pPr>
      <w:r>
        <w:rPr>
          <w:rStyle w:val="Domylnaczcionkaakapitu"/>
          <w:rFonts w:ascii="Times New Roman" w:hAnsi="Times New Roman"/>
          <w:i w:val="false"/>
          <w:iCs w:val="false"/>
          <w:color w:val="000000"/>
          <w:sz w:val="22"/>
          <w:szCs w:val="22"/>
          <w:shd w:fill="auto" w:val="clear"/>
        </w:rPr>
        <w:t>przestrzeń manewrowa przed</w:t>
      </w:r>
      <w:r>
        <w:rPr>
          <w:rStyle w:val="Domylnaczcionkaakapitu"/>
          <w:rFonts w:ascii="Times New Roman" w:hAnsi="Times New Roman"/>
          <w:i w:val="false"/>
          <w:iCs w:val="false"/>
          <w:color w:val="000000"/>
          <w:spacing w:val="-6"/>
          <w:sz w:val="22"/>
          <w:szCs w:val="22"/>
          <w:shd w:fill="auto" w:val="clear"/>
        </w:rPr>
        <w:t xml:space="preserve"> </w:t>
      </w:r>
      <w:r>
        <w:rPr>
          <w:rStyle w:val="Domylnaczcionkaakapitu"/>
          <w:rFonts w:ascii="Times New Roman" w:hAnsi="Times New Roman"/>
          <w:i w:val="false"/>
          <w:iCs w:val="false"/>
          <w:color w:val="000000"/>
          <w:sz w:val="22"/>
          <w:szCs w:val="22"/>
          <w:shd w:fill="auto" w:val="clear"/>
        </w:rPr>
        <w:t>umywalką</w:t>
      </w:r>
      <w:r>
        <w:rPr>
          <w:rStyle w:val="Domylnaczcionkaakapitu"/>
          <w:rFonts w:ascii="Times New Roman" w:hAnsi="Times New Roman"/>
          <w:i w:val="false"/>
          <w:iCs w:val="false"/>
          <w:color w:val="000000"/>
          <w:spacing w:val="-13"/>
          <w:sz w:val="22"/>
          <w:szCs w:val="22"/>
          <w:shd w:fill="auto" w:val="clear"/>
        </w:rPr>
        <w:t xml:space="preserve"> </w:t>
      </w:r>
      <w:r>
        <w:rPr>
          <w:rStyle w:val="Domylnaczcionkaakapitu"/>
          <w:rFonts w:ascii="Times New Roman" w:hAnsi="Times New Roman"/>
          <w:i w:val="false"/>
          <w:iCs w:val="false"/>
          <w:color w:val="000000"/>
          <w:sz w:val="22"/>
          <w:szCs w:val="22"/>
          <w:shd w:fill="auto" w:val="clear"/>
        </w:rPr>
        <w:t>o</w:t>
      </w:r>
      <w:r>
        <w:rPr>
          <w:rStyle w:val="Domylnaczcionkaakapitu"/>
          <w:rFonts w:ascii="Times New Roman" w:hAnsi="Times New Roman"/>
          <w:i w:val="false"/>
          <w:iCs w:val="false"/>
          <w:color w:val="000000"/>
          <w:spacing w:val="-13"/>
          <w:sz w:val="22"/>
          <w:szCs w:val="22"/>
          <w:shd w:fill="auto" w:val="clear"/>
        </w:rPr>
        <w:t xml:space="preserve"> </w:t>
      </w:r>
      <w:r>
        <w:rPr>
          <w:rStyle w:val="Domylnaczcionkaakapitu"/>
          <w:rFonts w:ascii="Times New Roman" w:hAnsi="Times New Roman"/>
          <w:i w:val="false"/>
          <w:iCs w:val="false"/>
          <w:color w:val="000000"/>
          <w:sz w:val="22"/>
          <w:szCs w:val="22"/>
          <w:shd w:fill="auto" w:val="clear"/>
        </w:rPr>
        <w:t>wymiarach 90x150cm, z</w:t>
      </w:r>
      <w:r>
        <w:rPr>
          <w:rStyle w:val="Domylnaczcionkaakapitu"/>
          <w:rFonts w:ascii="Times New Roman" w:hAnsi="Times New Roman"/>
          <w:i w:val="false"/>
          <w:iCs w:val="false"/>
          <w:color w:val="000000"/>
          <w:spacing w:val="-14"/>
          <w:sz w:val="22"/>
          <w:szCs w:val="22"/>
          <w:shd w:fill="auto" w:val="clear"/>
        </w:rPr>
        <w:t xml:space="preserve"> </w:t>
      </w:r>
      <w:r>
        <w:rPr>
          <w:rStyle w:val="Domylnaczcionkaakapitu"/>
          <w:rFonts w:ascii="Times New Roman" w:hAnsi="Times New Roman"/>
          <w:i w:val="false"/>
          <w:iCs w:val="false"/>
          <w:color w:val="000000"/>
          <w:sz w:val="22"/>
          <w:szCs w:val="22"/>
          <w:shd w:fill="auto" w:val="clear"/>
        </w:rPr>
        <w:t>czego nie więcej niż 40 cm tej przestrzeni może znajdować się</w:t>
      </w:r>
      <w:r>
        <w:rPr>
          <w:rStyle w:val="Domylnaczcionkaakapitu"/>
          <w:rFonts w:ascii="Times New Roman" w:hAnsi="Times New Roman"/>
          <w:i w:val="false"/>
          <w:iCs w:val="false"/>
          <w:color w:val="000000"/>
          <w:spacing w:val="80"/>
          <w:w w:val="150"/>
          <w:sz w:val="22"/>
          <w:szCs w:val="22"/>
          <w:shd w:fill="auto" w:val="clear"/>
        </w:rPr>
        <w:t xml:space="preserve"> </w:t>
      </w:r>
      <w:r>
        <w:rPr>
          <w:rStyle w:val="Domylnaczcionkaakapitu"/>
          <w:rFonts w:ascii="Times New Roman" w:hAnsi="Times New Roman"/>
          <w:i w:val="false"/>
          <w:iCs w:val="false"/>
          <w:color w:val="000000"/>
          <w:sz w:val="22"/>
          <w:szCs w:val="22"/>
          <w:shd w:fill="auto" w:val="clear"/>
        </w:rPr>
        <w:t>pod umywalką, jest zapewniona w ramach przestrzeni manewrowej pomieszczenia toalety.</w:t>
      </w:r>
    </w:p>
    <w:p>
      <w:pPr>
        <w:pStyle w:val="Akapitzlist"/>
        <w:numPr>
          <w:ilvl w:val="0"/>
          <w:numId w:val="29"/>
        </w:numPr>
        <w:tabs>
          <w:tab w:val="left" w:pos="801" w:leader="none"/>
        </w:tabs>
        <w:spacing w:before="113" w:after="0"/>
        <w:ind w:hanging="281" w:left="801" w:right="0"/>
        <w:rPr/>
      </w:pPr>
      <w:r>
        <w:rPr>
          <w:rStyle w:val="Domylnaczcionkaakapitu"/>
          <w:rFonts w:ascii="Times New Roman" w:hAnsi="Times New Roman"/>
          <w:i w:val="false"/>
          <w:iCs w:val="false"/>
          <w:color w:val="000000"/>
          <w:spacing w:val="-2"/>
          <w:sz w:val="22"/>
          <w:szCs w:val="22"/>
          <w:shd w:fill="auto" w:val="clear"/>
        </w:rPr>
        <w:t>Baterie:</w:t>
      </w:r>
    </w:p>
    <w:p>
      <w:pPr>
        <w:pStyle w:val="Akapitzlist"/>
        <w:numPr>
          <w:ilvl w:val="1"/>
          <w:numId w:val="29"/>
        </w:numPr>
        <w:tabs>
          <w:tab w:val="left" w:pos="1084" w:leader="none"/>
        </w:tabs>
        <w:suppressAutoHyphens w:val="true"/>
        <w:spacing w:lineRule="auto" w:line="276" w:before="176" w:after="0"/>
        <w:ind w:hanging="286" w:left="930" w:right="2780"/>
        <w:rPr/>
      </w:pPr>
      <w:r>
        <w:rPr>
          <w:rStyle w:val="Domylnaczcionkaakapitu"/>
          <w:rFonts w:ascii="Times New Roman" w:hAnsi="Times New Roman"/>
          <w:i w:val="false"/>
          <w:iCs w:val="false"/>
          <w:color w:val="000000"/>
          <w:sz w:val="22"/>
          <w:szCs w:val="22"/>
          <w:shd w:fill="auto" w:val="clear"/>
        </w:rPr>
        <w:t>Są</w:t>
      </w:r>
      <w:r>
        <w:rPr>
          <w:rStyle w:val="Domylnaczcionkaakapitu"/>
          <w:rFonts w:ascii="Times New Roman" w:hAnsi="Times New Roman"/>
          <w:i w:val="false"/>
          <w:iCs w:val="false"/>
          <w:color w:val="000000"/>
          <w:spacing w:val="-17"/>
          <w:sz w:val="22"/>
          <w:szCs w:val="22"/>
          <w:shd w:fill="auto" w:val="clear"/>
        </w:rPr>
        <w:t xml:space="preserve"> </w:t>
      </w:r>
      <w:r>
        <w:rPr>
          <w:rStyle w:val="Domylnaczcionkaakapitu"/>
          <w:rFonts w:ascii="Times New Roman" w:hAnsi="Times New Roman"/>
          <w:i w:val="false"/>
          <w:iCs w:val="false"/>
          <w:color w:val="000000"/>
          <w:sz w:val="22"/>
          <w:szCs w:val="22"/>
          <w:shd w:fill="auto" w:val="clear"/>
        </w:rPr>
        <w:t>uruchamiane</w:t>
      </w:r>
      <w:r>
        <w:rPr>
          <w:rStyle w:val="Domylnaczcionkaakapitu"/>
          <w:rFonts w:ascii="Times New Roman" w:hAnsi="Times New Roman"/>
          <w:i w:val="false"/>
          <w:iCs w:val="false"/>
          <w:color w:val="000000"/>
          <w:spacing w:val="-16"/>
          <w:sz w:val="22"/>
          <w:szCs w:val="22"/>
          <w:shd w:fill="auto" w:val="clear"/>
        </w:rPr>
        <w:t xml:space="preserve"> </w:t>
      </w:r>
      <w:r>
        <w:rPr>
          <w:rStyle w:val="Domylnaczcionkaakapitu"/>
          <w:rFonts w:ascii="Times New Roman" w:hAnsi="Times New Roman"/>
          <w:i w:val="false"/>
          <w:iCs w:val="false"/>
          <w:color w:val="000000"/>
          <w:sz w:val="22"/>
          <w:szCs w:val="22"/>
          <w:shd w:fill="auto" w:val="clear"/>
        </w:rPr>
        <w:t>dźwignie</w:t>
      </w:r>
      <w:r>
        <w:rPr>
          <w:rStyle w:val="Domylnaczcionkaakapitu"/>
          <w:rFonts w:ascii="Times New Roman" w:hAnsi="Times New Roman"/>
          <w:i w:val="false"/>
          <w:iCs w:val="false"/>
          <w:color w:val="000000"/>
          <w:spacing w:val="-16"/>
          <w:sz w:val="22"/>
          <w:szCs w:val="22"/>
          <w:shd w:fill="auto" w:val="clear"/>
        </w:rPr>
        <w:t xml:space="preserve"> </w:t>
      </w:r>
      <w:r>
        <w:rPr>
          <w:rStyle w:val="Domylnaczcionkaakapitu"/>
          <w:rFonts w:ascii="Times New Roman" w:hAnsi="Times New Roman"/>
          <w:i w:val="false"/>
          <w:iCs w:val="false"/>
          <w:color w:val="000000"/>
          <w:sz w:val="22"/>
          <w:szCs w:val="22"/>
          <w:shd w:fill="auto" w:val="clear"/>
        </w:rPr>
        <w:t>z</w:t>
      </w:r>
      <w:r>
        <w:rPr>
          <w:rStyle w:val="Domylnaczcionkaakapitu"/>
          <w:rFonts w:ascii="Times New Roman" w:hAnsi="Times New Roman"/>
          <w:i w:val="false"/>
          <w:iCs w:val="false"/>
          <w:color w:val="000000"/>
          <w:spacing w:val="-17"/>
          <w:sz w:val="22"/>
          <w:szCs w:val="22"/>
          <w:shd w:fill="auto" w:val="clear"/>
        </w:rPr>
        <w:t xml:space="preserve"> </w:t>
      </w:r>
      <w:r>
        <w:rPr>
          <w:rStyle w:val="Domylnaczcionkaakapitu"/>
          <w:rFonts w:ascii="Times New Roman" w:hAnsi="Times New Roman"/>
          <w:i w:val="false"/>
          <w:iCs w:val="false"/>
          <w:color w:val="000000"/>
          <w:sz w:val="22"/>
          <w:szCs w:val="22"/>
          <w:shd w:fill="auto" w:val="clear"/>
        </w:rPr>
        <w:t>przedłużonym</w:t>
      </w:r>
      <w:r>
        <w:rPr>
          <w:rStyle w:val="Domylnaczcionkaakapitu"/>
          <w:rFonts w:ascii="Times New Roman" w:hAnsi="Times New Roman"/>
          <w:i w:val="false"/>
          <w:iCs w:val="false"/>
          <w:color w:val="000000"/>
          <w:spacing w:val="-13"/>
          <w:sz w:val="22"/>
          <w:szCs w:val="22"/>
          <w:shd w:fill="auto" w:val="clear"/>
        </w:rPr>
        <w:t xml:space="preserve"> </w:t>
      </w:r>
      <w:r>
        <w:rPr>
          <w:rStyle w:val="Domylnaczcionkaakapitu"/>
          <w:rFonts w:ascii="Times New Roman" w:hAnsi="Times New Roman"/>
          <w:i w:val="false"/>
          <w:iCs w:val="false"/>
          <w:color w:val="000000"/>
          <w:sz w:val="22"/>
          <w:szCs w:val="22"/>
          <w:shd w:fill="auto" w:val="clear"/>
        </w:rPr>
        <w:t>uchwytem,</w:t>
      </w:r>
    </w:p>
    <w:p>
      <w:pPr>
        <w:pStyle w:val="Akapitzlist"/>
        <w:numPr>
          <w:ilvl w:val="1"/>
          <w:numId w:val="29"/>
        </w:numPr>
        <w:tabs>
          <w:tab w:val="left" w:pos="1084" w:leader="none"/>
        </w:tabs>
        <w:spacing w:before="66" w:after="0"/>
        <w:ind w:hanging="285" w:left="1084" w:right="0"/>
        <w:rPr/>
      </w:pPr>
      <w:r>
        <w:rPr>
          <w:rStyle w:val="Domylnaczcionkaakapitu"/>
          <w:rFonts w:ascii="Times New Roman" w:hAnsi="Times New Roman"/>
          <w:i w:val="false"/>
          <w:iCs w:val="false"/>
          <w:color w:val="000000"/>
          <w:w w:val="105"/>
          <w:sz w:val="22"/>
          <w:szCs w:val="22"/>
          <w:shd w:fill="auto" w:val="clear"/>
        </w:rPr>
        <w:t>nie</w:t>
      </w:r>
      <w:r>
        <w:rPr>
          <w:rStyle w:val="Domylnaczcionkaakapitu"/>
          <w:rFonts w:ascii="Times New Roman" w:hAnsi="Times New Roman"/>
          <w:i w:val="false"/>
          <w:iCs w:val="false"/>
          <w:color w:val="000000"/>
          <w:spacing w:val="-15"/>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należy</w:t>
      </w:r>
      <w:r>
        <w:rPr>
          <w:rStyle w:val="Domylnaczcionkaakapitu"/>
          <w:rFonts w:ascii="Times New Roman" w:hAnsi="Times New Roman"/>
          <w:i w:val="false"/>
          <w:iCs w:val="false"/>
          <w:color w:val="000000"/>
          <w:spacing w:val="-10"/>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stosować</w:t>
      </w:r>
      <w:r>
        <w:rPr>
          <w:rStyle w:val="Domylnaczcionkaakapitu"/>
          <w:rFonts w:ascii="Times New Roman" w:hAnsi="Times New Roman"/>
          <w:i w:val="false"/>
          <w:iCs w:val="false"/>
          <w:color w:val="000000"/>
          <w:spacing w:val="-8"/>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baterii</w:t>
      </w:r>
      <w:r>
        <w:rPr>
          <w:rStyle w:val="Domylnaczcionkaakapitu"/>
          <w:rFonts w:ascii="Times New Roman" w:hAnsi="Times New Roman"/>
          <w:i w:val="false"/>
          <w:iCs w:val="false"/>
          <w:color w:val="000000"/>
          <w:spacing w:val="-14"/>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obsługiwanych</w:t>
      </w:r>
      <w:r>
        <w:rPr>
          <w:rStyle w:val="Domylnaczcionkaakapitu"/>
          <w:rFonts w:ascii="Times New Roman" w:hAnsi="Times New Roman"/>
          <w:i w:val="false"/>
          <w:iCs w:val="false"/>
          <w:color w:val="000000"/>
          <w:spacing w:val="-3"/>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przy</w:t>
      </w:r>
      <w:r>
        <w:rPr>
          <w:rStyle w:val="Domylnaczcionkaakapitu"/>
          <w:rFonts w:ascii="Times New Roman" w:hAnsi="Times New Roman"/>
          <w:i w:val="false"/>
          <w:iCs w:val="false"/>
          <w:color w:val="000000"/>
          <w:spacing w:val="-16"/>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pomocy</w:t>
      </w:r>
      <w:r>
        <w:rPr>
          <w:rStyle w:val="Domylnaczcionkaakapitu"/>
          <w:rFonts w:ascii="Times New Roman" w:hAnsi="Times New Roman"/>
          <w:i w:val="false"/>
          <w:iCs w:val="false"/>
          <w:color w:val="000000"/>
          <w:spacing w:val="-6"/>
          <w:w w:val="105"/>
          <w:sz w:val="22"/>
          <w:szCs w:val="22"/>
          <w:shd w:fill="auto" w:val="clear"/>
        </w:rPr>
        <w:t xml:space="preserve"> </w:t>
      </w:r>
      <w:r>
        <w:rPr>
          <w:rStyle w:val="Domylnaczcionkaakapitu"/>
          <w:rFonts w:ascii="Times New Roman" w:hAnsi="Times New Roman"/>
          <w:i w:val="false"/>
          <w:iCs w:val="false"/>
          <w:color w:val="000000"/>
          <w:spacing w:val="-2"/>
          <w:w w:val="105"/>
          <w:sz w:val="22"/>
          <w:szCs w:val="22"/>
          <w:shd w:fill="auto" w:val="clear"/>
        </w:rPr>
        <w:t>kurków.</w:t>
      </w:r>
    </w:p>
    <w:p>
      <w:pPr>
        <w:pStyle w:val="Akapitzlist"/>
        <w:numPr>
          <w:ilvl w:val="0"/>
          <w:numId w:val="29"/>
        </w:numPr>
        <w:tabs>
          <w:tab w:val="left" w:pos="800" w:leader="none"/>
        </w:tabs>
        <w:spacing w:lineRule="auto" w:line="288" w:before="178" w:after="0"/>
        <w:ind w:hanging="279" w:left="800" w:right="1835"/>
        <w:rPr/>
      </w:pPr>
      <w:r>
        <w:rPr>
          <w:rStyle w:val="Domylnaczcionkaakapitu"/>
          <w:rFonts w:ascii="Times New Roman" w:hAnsi="Times New Roman"/>
          <w:i w:val="false"/>
          <w:iCs w:val="false"/>
          <w:color w:val="000000"/>
          <w:w w:val="105"/>
          <w:sz w:val="22"/>
          <w:szCs w:val="22"/>
          <w:shd w:fill="auto" w:val="clear"/>
        </w:rPr>
        <w:t>Lustro uchylne</w:t>
      </w:r>
      <w:r>
        <w:rPr>
          <w:rStyle w:val="Domylnaczcionkaakapitu"/>
          <w:rFonts w:ascii="Times New Roman" w:hAnsi="Times New Roman"/>
          <w:i w:val="false"/>
          <w:iCs w:val="false"/>
          <w:color w:val="000000"/>
          <w:spacing w:val="-5"/>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jest zamontowane w</w:t>
      </w:r>
      <w:r>
        <w:rPr>
          <w:rStyle w:val="Domylnaczcionkaakapitu"/>
          <w:rFonts w:ascii="Times New Roman" w:hAnsi="Times New Roman"/>
          <w:i w:val="false"/>
          <w:iCs w:val="false"/>
          <w:color w:val="000000"/>
          <w:spacing w:val="-9"/>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taki</w:t>
      </w:r>
      <w:r>
        <w:rPr>
          <w:rStyle w:val="Domylnaczcionkaakapitu"/>
          <w:rFonts w:ascii="Times New Roman" w:hAnsi="Times New Roman"/>
          <w:i w:val="false"/>
          <w:iCs w:val="false"/>
          <w:color w:val="000000"/>
          <w:spacing w:val="-2"/>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sposób, ze</w:t>
      </w:r>
      <w:r>
        <w:rPr>
          <w:rStyle w:val="Domylnaczcionkaakapitu"/>
          <w:rFonts w:ascii="Times New Roman" w:hAnsi="Times New Roman"/>
          <w:i w:val="false"/>
          <w:iCs w:val="false"/>
          <w:color w:val="000000"/>
          <w:spacing w:val="-6"/>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jego</w:t>
      </w:r>
      <w:r>
        <w:rPr>
          <w:rStyle w:val="Domylnaczcionkaakapitu"/>
          <w:rFonts w:ascii="Times New Roman" w:hAnsi="Times New Roman"/>
          <w:i w:val="false"/>
          <w:iCs w:val="false"/>
          <w:color w:val="000000"/>
          <w:spacing w:val="-6"/>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dolna</w:t>
      </w:r>
      <w:r>
        <w:rPr>
          <w:rStyle w:val="Domylnaczcionkaakapitu"/>
          <w:rFonts w:ascii="Times New Roman" w:hAnsi="Times New Roman"/>
          <w:i w:val="false"/>
          <w:iCs w:val="false"/>
          <w:color w:val="000000"/>
          <w:spacing w:val="-4"/>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kraw</w:t>
      </w:r>
      <w:r>
        <w:rPr>
          <w:rStyle w:val="Domylnaczcionkaakapitu"/>
          <w:rFonts w:ascii="Times New Roman" w:hAnsi="Times New Roman"/>
          <w:i w:val="false"/>
          <w:iCs w:val="false"/>
          <w:color w:val="000000"/>
          <w:spacing w:val="-2"/>
          <w:w w:val="105"/>
          <w:sz w:val="22"/>
          <w:szCs w:val="22"/>
          <w:shd w:fill="auto" w:val="clear"/>
        </w:rPr>
        <w:t>ę</w:t>
      </w:r>
      <w:r>
        <w:rPr>
          <w:rStyle w:val="Domylnaczcionkaakapitu"/>
          <w:rFonts w:ascii="Times New Roman" w:hAnsi="Times New Roman"/>
          <w:i w:val="false"/>
          <w:iCs w:val="false"/>
          <w:color w:val="000000"/>
          <w:w w:val="105"/>
          <w:sz w:val="22"/>
          <w:szCs w:val="22"/>
          <w:shd w:fill="auto" w:val="clear"/>
        </w:rPr>
        <w:t>dź znajduje się nie wyżej niż 100 cm od poziomu posadzki,</w:t>
      </w:r>
    </w:p>
    <w:p>
      <w:pPr>
        <w:pStyle w:val="Akapitzlist"/>
        <w:numPr>
          <w:ilvl w:val="0"/>
          <w:numId w:val="29"/>
        </w:numPr>
        <w:tabs>
          <w:tab w:val="left" w:pos="800" w:leader="none"/>
        </w:tabs>
        <w:spacing w:lineRule="auto" w:line="288" w:before="120" w:after="0"/>
        <w:ind w:hanging="281" w:left="800" w:right="1798"/>
        <w:rPr/>
      </w:pPr>
      <w:r>
        <w:rPr>
          <w:rStyle w:val="Domylnaczcionkaakapitu"/>
          <w:rFonts w:ascii="Times New Roman" w:hAnsi="Times New Roman"/>
          <w:i w:val="false"/>
          <w:iCs w:val="false"/>
          <w:color w:val="000000"/>
          <w:w w:val="105"/>
          <w:sz w:val="22"/>
          <w:szCs w:val="22"/>
          <w:shd w:fill="auto" w:val="clear"/>
        </w:rPr>
        <w:t>Dozownik</w:t>
      </w:r>
      <w:r>
        <w:rPr>
          <w:rStyle w:val="Domylnaczcionkaakapitu"/>
          <w:rFonts w:ascii="Times New Roman" w:hAnsi="Times New Roman"/>
          <w:i w:val="false"/>
          <w:iCs w:val="false"/>
          <w:color w:val="000000"/>
          <w:spacing w:val="-6"/>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mydła, suszarka</w:t>
      </w:r>
      <w:r>
        <w:rPr>
          <w:rStyle w:val="Domylnaczcionkaakapitu"/>
          <w:rFonts w:ascii="Times New Roman" w:hAnsi="Times New Roman"/>
          <w:i w:val="false"/>
          <w:iCs w:val="false"/>
          <w:color w:val="000000"/>
          <w:spacing w:val="-17"/>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są</w:t>
      </w:r>
      <w:r>
        <w:rPr>
          <w:rStyle w:val="Domylnaczcionkaakapitu"/>
          <w:rFonts w:ascii="Times New Roman" w:hAnsi="Times New Roman"/>
          <w:i w:val="false"/>
          <w:iCs w:val="false"/>
          <w:color w:val="000000"/>
          <w:spacing w:val="-17"/>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zlokalizowane</w:t>
      </w:r>
      <w:r>
        <w:rPr>
          <w:rStyle w:val="Domylnaczcionkaakapitu"/>
          <w:rFonts w:ascii="Times New Roman" w:hAnsi="Times New Roman"/>
          <w:i w:val="false"/>
          <w:iCs w:val="false"/>
          <w:color w:val="000000"/>
          <w:spacing w:val="14"/>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jak</w:t>
      </w:r>
      <w:r>
        <w:rPr>
          <w:rStyle w:val="Domylnaczcionkaakapitu"/>
          <w:rFonts w:ascii="Times New Roman" w:hAnsi="Times New Roman"/>
          <w:i w:val="false"/>
          <w:iCs w:val="false"/>
          <w:color w:val="000000"/>
          <w:spacing w:val="-2"/>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najbliżej umywalki na wysokości 80-110 cm ad poziomu posadzki.</w:t>
      </w:r>
    </w:p>
    <w:p>
      <w:pPr>
        <w:pStyle w:val="Akapitzlist"/>
        <w:numPr>
          <w:ilvl w:val="0"/>
          <w:numId w:val="29"/>
        </w:numPr>
        <w:tabs>
          <w:tab w:val="left" w:pos="801" w:leader="none"/>
        </w:tabs>
        <w:spacing w:lineRule="auto" w:line="288" w:before="119" w:after="0"/>
        <w:ind w:hanging="279" w:left="801" w:right="1491"/>
        <w:rPr/>
      </w:pPr>
      <w:r>
        <w:rPr>
          <w:rStyle w:val="Domylnaczcionkaakapitu"/>
          <w:rFonts w:ascii="Times New Roman" w:hAnsi="Times New Roman"/>
          <w:i w:val="false"/>
          <w:iCs w:val="false"/>
          <w:color w:val="000000"/>
          <w:w w:val="105"/>
          <w:sz w:val="22"/>
          <w:szCs w:val="22"/>
          <w:shd w:fill="auto" w:val="clear"/>
        </w:rPr>
        <w:t>Poręcze są</w:t>
      </w:r>
      <w:r>
        <w:rPr>
          <w:rStyle w:val="Domylnaczcionkaakapitu"/>
          <w:rFonts w:ascii="Times New Roman" w:hAnsi="Times New Roman"/>
          <w:i w:val="false"/>
          <w:iCs w:val="false"/>
          <w:color w:val="000000"/>
          <w:spacing w:val="-9"/>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montowane po</w:t>
      </w:r>
      <w:r>
        <w:rPr>
          <w:rStyle w:val="Domylnaczcionkaakapitu"/>
          <w:rFonts w:ascii="Times New Roman" w:hAnsi="Times New Roman"/>
          <w:i w:val="false"/>
          <w:iCs w:val="false"/>
          <w:color w:val="000000"/>
          <w:spacing w:val="-4"/>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obu stronach umywalki na wysokości 90-100 cm, w odległości nie</w:t>
      </w:r>
      <w:r>
        <w:rPr>
          <w:rStyle w:val="Domylnaczcionkaakapitu"/>
          <w:rFonts w:ascii="Times New Roman" w:hAnsi="Times New Roman"/>
          <w:i w:val="false"/>
          <w:iCs w:val="false"/>
          <w:color w:val="000000"/>
          <w:spacing w:val="-3"/>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mniejszej</w:t>
      </w:r>
      <w:r>
        <w:rPr>
          <w:rStyle w:val="Domylnaczcionkaakapitu"/>
          <w:rFonts w:ascii="Times New Roman" w:hAnsi="Times New Roman"/>
          <w:i w:val="false"/>
          <w:iCs w:val="false"/>
          <w:color w:val="000000"/>
          <w:spacing w:val="19"/>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niż 5 cm pomiędzy</w:t>
      </w:r>
      <w:r>
        <w:rPr>
          <w:rStyle w:val="Domylnaczcionkaakapitu"/>
          <w:rFonts w:ascii="Times New Roman" w:hAnsi="Times New Roman"/>
          <w:i w:val="false"/>
          <w:iCs w:val="false"/>
          <w:color w:val="000000"/>
          <w:spacing w:val="17"/>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krawędzią poręczy a umywalką.</w:t>
      </w:r>
    </w:p>
    <w:p>
      <w:pPr>
        <w:pStyle w:val="BodyText"/>
        <w:spacing w:before="168" w:after="0"/>
        <w:ind w:hanging="0" w:left="0"/>
        <w:rPr>
          <w:rFonts w:ascii="Times New Roman" w:hAnsi="Times New Roman"/>
          <w:b/>
          <w:bCs/>
          <w:i w:val="false"/>
          <w:iCs w:val="false"/>
          <w:color w:val="000000"/>
          <w:spacing w:val="-2"/>
          <w:sz w:val="22"/>
          <w:szCs w:val="22"/>
          <w:shd w:fill="auto" w:val="clear"/>
        </w:rPr>
      </w:pPr>
      <w:r>
        <w:rPr>
          <w:b/>
          <w:bCs/>
          <w:i w:val="false"/>
          <w:iCs w:val="false"/>
          <w:color w:val="000000"/>
          <w:spacing w:val="-2"/>
          <w:sz w:val="22"/>
          <w:szCs w:val="22"/>
          <w:shd w:fill="auto" w:val="clear"/>
        </w:rPr>
      </w:r>
    </w:p>
    <w:p>
      <w:pPr>
        <w:pStyle w:val="Normal"/>
        <w:tabs>
          <w:tab w:val="clear" w:pos="708"/>
        </w:tabs>
        <w:ind w:hanging="0" w:left="519" w:right="0"/>
        <w:rPr/>
      </w:pPr>
      <w:r>
        <w:rPr>
          <w:rStyle w:val="Domylnaczcionkaakapitu"/>
          <w:b/>
          <w:bCs/>
          <w:i w:val="false"/>
          <w:iCs w:val="false"/>
          <w:color w:val="000000"/>
          <w:w w:val="105"/>
          <w:sz w:val="22"/>
          <w:szCs w:val="22"/>
          <w:shd w:fill="auto" w:val="clear"/>
        </w:rPr>
        <w:t>Gniazda,</w:t>
      </w:r>
      <w:r>
        <w:rPr>
          <w:rStyle w:val="Domylnaczcionkaakapitu"/>
          <w:b/>
          <w:bCs/>
          <w:i w:val="false"/>
          <w:iCs w:val="false"/>
          <w:color w:val="000000"/>
          <w:spacing w:val="-9"/>
          <w:w w:val="105"/>
          <w:sz w:val="22"/>
          <w:szCs w:val="22"/>
          <w:shd w:fill="auto" w:val="clear"/>
        </w:rPr>
        <w:t xml:space="preserve"> </w:t>
      </w:r>
      <w:r>
        <w:rPr>
          <w:rStyle w:val="Domylnaczcionkaakapitu"/>
          <w:b/>
          <w:bCs/>
          <w:i w:val="false"/>
          <w:iCs w:val="false"/>
          <w:color w:val="000000"/>
          <w:w w:val="105"/>
          <w:sz w:val="22"/>
          <w:szCs w:val="22"/>
          <w:shd w:fill="auto" w:val="clear"/>
        </w:rPr>
        <w:t>kontakty</w:t>
      </w:r>
      <w:r>
        <w:rPr>
          <w:rStyle w:val="Domylnaczcionkaakapitu"/>
          <w:b/>
          <w:bCs/>
          <w:i w:val="false"/>
          <w:iCs w:val="false"/>
          <w:color w:val="000000"/>
          <w:spacing w:val="-17"/>
          <w:w w:val="105"/>
          <w:sz w:val="22"/>
          <w:szCs w:val="22"/>
          <w:shd w:fill="auto" w:val="clear"/>
        </w:rPr>
        <w:t xml:space="preserve"> </w:t>
      </w:r>
      <w:r>
        <w:rPr>
          <w:rStyle w:val="Domylnaczcionkaakapitu"/>
          <w:b/>
          <w:bCs/>
          <w:i w:val="false"/>
          <w:iCs w:val="false"/>
          <w:color w:val="000000"/>
          <w:w w:val="105"/>
          <w:sz w:val="22"/>
          <w:szCs w:val="22"/>
          <w:shd w:fill="auto" w:val="clear"/>
        </w:rPr>
        <w:t>i</w:t>
      </w:r>
      <w:r>
        <w:rPr>
          <w:rStyle w:val="Domylnaczcionkaakapitu"/>
          <w:b/>
          <w:bCs/>
          <w:i w:val="false"/>
          <w:iCs w:val="false"/>
          <w:color w:val="000000"/>
          <w:spacing w:val="-16"/>
          <w:w w:val="105"/>
          <w:sz w:val="22"/>
          <w:szCs w:val="22"/>
          <w:shd w:fill="auto" w:val="clear"/>
        </w:rPr>
        <w:t xml:space="preserve"> </w:t>
      </w:r>
      <w:r>
        <w:rPr>
          <w:rStyle w:val="Domylnaczcionkaakapitu"/>
          <w:b/>
          <w:bCs/>
          <w:i w:val="false"/>
          <w:iCs w:val="false"/>
          <w:color w:val="000000"/>
          <w:w w:val="105"/>
          <w:sz w:val="22"/>
          <w:szCs w:val="22"/>
          <w:shd w:fill="auto" w:val="clear"/>
        </w:rPr>
        <w:t>inne</w:t>
      </w:r>
      <w:r>
        <w:rPr>
          <w:rStyle w:val="Domylnaczcionkaakapitu"/>
          <w:b/>
          <w:bCs/>
          <w:i w:val="false"/>
          <w:iCs w:val="false"/>
          <w:color w:val="000000"/>
          <w:spacing w:val="-17"/>
          <w:w w:val="105"/>
          <w:sz w:val="22"/>
          <w:szCs w:val="22"/>
          <w:shd w:fill="auto" w:val="clear"/>
        </w:rPr>
        <w:t xml:space="preserve"> </w:t>
      </w:r>
      <w:r>
        <w:rPr>
          <w:rStyle w:val="Domylnaczcionkaakapitu"/>
          <w:b/>
          <w:bCs/>
          <w:i w:val="false"/>
          <w:iCs w:val="false"/>
          <w:color w:val="000000"/>
          <w:w w:val="105"/>
          <w:sz w:val="22"/>
          <w:szCs w:val="22"/>
          <w:shd w:fill="auto" w:val="clear"/>
        </w:rPr>
        <w:t>mechanizmy</w:t>
      </w:r>
      <w:r>
        <w:rPr>
          <w:rStyle w:val="Domylnaczcionkaakapitu"/>
          <w:b/>
          <w:bCs/>
          <w:i w:val="false"/>
          <w:iCs w:val="false"/>
          <w:color w:val="000000"/>
          <w:spacing w:val="1"/>
          <w:w w:val="105"/>
          <w:sz w:val="22"/>
          <w:szCs w:val="22"/>
          <w:shd w:fill="auto" w:val="clear"/>
        </w:rPr>
        <w:t xml:space="preserve"> </w:t>
      </w:r>
      <w:r>
        <w:rPr>
          <w:rStyle w:val="Domylnaczcionkaakapitu"/>
          <w:b/>
          <w:bCs/>
          <w:i w:val="false"/>
          <w:iCs w:val="false"/>
          <w:color w:val="000000"/>
          <w:w w:val="105"/>
          <w:sz w:val="22"/>
          <w:szCs w:val="22"/>
          <w:shd w:fill="auto" w:val="clear"/>
        </w:rPr>
        <w:t>kontrolne:</w:t>
      </w:r>
      <w:r>
        <w:rPr>
          <w:rStyle w:val="Domylnaczcionkaakapitu"/>
          <w:b/>
          <w:bCs/>
          <w:i w:val="false"/>
          <w:iCs w:val="false"/>
          <w:color w:val="000000"/>
          <w:spacing w:val="-42"/>
          <w:w w:val="105"/>
          <w:sz w:val="22"/>
          <w:szCs w:val="22"/>
          <w:shd w:fill="auto" w:val="clear"/>
        </w:rPr>
        <w:t xml:space="preserve"> </w:t>
      </w:r>
    </w:p>
    <w:p>
      <w:pPr>
        <w:pStyle w:val="Akapitzlist"/>
        <w:widowControl w:val="false"/>
        <w:numPr>
          <w:ilvl w:val="0"/>
          <w:numId w:val="46"/>
        </w:numPr>
        <w:tabs>
          <w:tab w:val="left" w:pos="801" w:leader="none"/>
          <w:tab w:val="left" w:pos="7390" w:leader="none"/>
        </w:tabs>
        <w:suppressAutoHyphens w:val="true"/>
        <w:bidi w:val="0"/>
        <w:spacing w:lineRule="auto" w:line="288" w:before="254" w:after="0"/>
        <w:ind w:hanging="283" w:left="794" w:right="1191"/>
        <w:rPr/>
      </w:pPr>
      <w:r>
        <w:rPr>
          <w:rStyle w:val="Domylnaczcionkaakapitu"/>
          <w:rFonts w:ascii="Times New Roman" w:hAnsi="Times New Roman"/>
          <w:i w:val="false"/>
          <w:iCs w:val="false"/>
          <w:color w:val="000000"/>
          <w:w w:val="105"/>
          <w:sz w:val="22"/>
          <w:szCs w:val="22"/>
          <w:shd w:fill="auto" w:val="clear"/>
        </w:rPr>
        <w:t>Włączniki światła, czytniki kart dostępu oraz istotne gniazda znajdują się w miejscach, do których może dostrzec osoba poruszająca się na</w:t>
      </w:r>
      <w:r>
        <w:rPr>
          <w:rStyle w:val="Domylnaczcionkaakapitu"/>
          <w:rFonts w:ascii="Times New Roman" w:hAnsi="Times New Roman"/>
          <w:i w:val="false"/>
          <w:iCs w:val="false"/>
          <w:color w:val="000000"/>
          <w:spacing w:val="-17"/>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wózku.</w:t>
      </w:r>
    </w:p>
    <w:p>
      <w:pPr>
        <w:pStyle w:val="Akapitzlist"/>
        <w:numPr>
          <w:ilvl w:val="0"/>
          <w:numId w:val="39"/>
        </w:numPr>
        <w:tabs>
          <w:tab w:val="left" w:pos="800" w:leader="none"/>
          <w:tab w:val="left" w:pos="8747" w:leader="none"/>
        </w:tabs>
        <w:spacing w:lineRule="auto" w:line="276" w:before="120" w:after="0"/>
        <w:ind w:hanging="280" w:left="800" w:right="1049"/>
        <w:rPr/>
      </w:pPr>
      <w:r>
        <w:rPr>
          <w:rStyle w:val="Domylnaczcionkaakapitu"/>
          <w:rFonts w:ascii="Times New Roman" w:hAnsi="Times New Roman"/>
          <w:i w:val="false"/>
          <w:iCs w:val="false"/>
          <w:color w:val="000000"/>
          <w:w w:val="105"/>
          <w:sz w:val="22"/>
          <w:szCs w:val="22"/>
          <w:shd w:fill="auto" w:val="clear"/>
        </w:rPr>
        <w:t>Kontakty,</w:t>
      </w:r>
      <w:r>
        <w:rPr>
          <w:rStyle w:val="Domylnaczcionkaakapitu"/>
          <w:rFonts w:ascii="Times New Roman" w:hAnsi="Times New Roman"/>
          <w:i w:val="false"/>
          <w:iCs w:val="false"/>
          <w:color w:val="000000"/>
          <w:spacing w:val="-9"/>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włączniki</w:t>
      </w:r>
      <w:r>
        <w:rPr>
          <w:rStyle w:val="Domylnaczcionkaakapitu"/>
          <w:rFonts w:ascii="Times New Roman" w:hAnsi="Times New Roman"/>
          <w:i w:val="false"/>
          <w:iCs w:val="false"/>
          <w:color w:val="000000"/>
          <w:spacing w:val="-13"/>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i</w:t>
      </w:r>
      <w:r>
        <w:rPr>
          <w:rStyle w:val="Domylnaczcionkaakapitu"/>
          <w:rFonts w:ascii="Times New Roman" w:hAnsi="Times New Roman"/>
          <w:i w:val="false"/>
          <w:iCs w:val="false"/>
          <w:color w:val="000000"/>
          <w:spacing w:val="-17"/>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inne</w:t>
      </w:r>
      <w:r>
        <w:rPr>
          <w:rStyle w:val="Domylnaczcionkaakapitu"/>
          <w:rFonts w:ascii="Times New Roman" w:hAnsi="Times New Roman"/>
          <w:i w:val="false"/>
          <w:iCs w:val="false"/>
          <w:color w:val="000000"/>
          <w:spacing w:val="-16"/>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mechanizmy</w:t>
      </w:r>
      <w:r>
        <w:rPr>
          <w:rStyle w:val="Domylnaczcionkaakapitu"/>
          <w:rFonts w:ascii="Times New Roman" w:hAnsi="Times New Roman"/>
          <w:i w:val="false"/>
          <w:iCs w:val="false"/>
          <w:color w:val="000000"/>
          <w:spacing w:val="-5"/>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kontrolne</w:t>
      </w:r>
      <w:r>
        <w:rPr>
          <w:rStyle w:val="Domylnaczcionkaakapitu"/>
          <w:rFonts w:ascii="Times New Roman" w:hAnsi="Times New Roman"/>
          <w:i w:val="false"/>
          <w:iCs w:val="false"/>
          <w:color w:val="000000"/>
          <w:spacing w:val="-8"/>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należy</w:t>
      </w:r>
      <w:r>
        <w:rPr>
          <w:rStyle w:val="Domylnaczcionkaakapitu"/>
          <w:rFonts w:ascii="Times New Roman" w:hAnsi="Times New Roman"/>
          <w:i w:val="false"/>
          <w:iCs w:val="false"/>
          <w:color w:val="000000"/>
          <w:spacing w:val="-9"/>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umieszczać</w:t>
      </w:r>
      <w:r>
        <w:rPr>
          <w:rStyle w:val="Domylnaczcionkaakapitu"/>
          <w:rFonts w:ascii="Times New Roman" w:hAnsi="Times New Roman"/>
          <w:i w:val="false"/>
          <w:iCs w:val="false"/>
          <w:color w:val="000000"/>
          <w:spacing w:val="-8"/>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na</w:t>
      </w:r>
      <w:r>
        <w:rPr>
          <w:rStyle w:val="Domylnaczcionkaakapitu"/>
          <w:rFonts w:ascii="Times New Roman" w:hAnsi="Times New Roman"/>
          <w:i w:val="false"/>
          <w:iCs w:val="false"/>
          <w:color w:val="000000"/>
          <w:spacing w:val="-17"/>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wysokości 80-110 cm,</w:t>
      </w:r>
      <w:r>
        <w:rPr>
          <w:rStyle w:val="Domylnaczcionkaakapitu"/>
          <w:rFonts w:ascii="Times New Roman" w:hAnsi="Times New Roman"/>
          <w:i w:val="false"/>
          <w:iCs w:val="false"/>
          <w:color w:val="000000"/>
          <w:spacing w:val="-1"/>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natomiast gniazda na</w:t>
      </w:r>
      <w:r>
        <w:rPr>
          <w:rStyle w:val="Domylnaczcionkaakapitu"/>
          <w:rFonts w:ascii="Times New Roman" w:hAnsi="Times New Roman"/>
          <w:i w:val="false"/>
          <w:iCs w:val="false"/>
          <w:color w:val="000000"/>
          <w:spacing w:val="-1"/>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wysokości 40-100 cm.</w:t>
      </w:r>
      <w:r>
        <w:rPr>
          <w:rStyle w:val="Domylnaczcionkaakapitu"/>
          <w:rFonts w:ascii="Times New Roman" w:hAnsi="Times New Roman"/>
          <w:i w:val="false"/>
          <w:iCs w:val="false"/>
          <w:color w:val="000000"/>
          <w:spacing w:val="21"/>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Zasada ta</w:t>
      </w:r>
      <w:r>
        <w:rPr>
          <w:rStyle w:val="Domylnaczcionkaakapitu"/>
          <w:rFonts w:ascii="Times New Roman" w:hAnsi="Times New Roman"/>
          <w:i w:val="false"/>
          <w:iCs w:val="false"/>
          <w:color w:val="000000"/>
          <w:spacing w:val="-8"/>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nie</w:t>
      </w:r>
      <w:r>
        <w:rPr>
          <w:rStyle w:val="Domylnaczcionkaakapitu"/>
          <w:rFonts w:ascii="Times New Roman" w:hAnsi="Times New Roman"/>
          <w:i w:val="false"/>
          <w:iCs w:val="false"/>
          <w:color w:val="000000"/>
          <w:spacing w:val="-7"/>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 xml:space="preserve">dotyczy specjalnego wyposażenia, które zgodnie z przepisami musi znajdować się </w:t>
      </w:r>
      <w:r>
        <w:rPr>
          <w:rStyle w:val="Domylnaczcionkaakapitu"/>
          <w:rFonts w:ascii="Times New Roman" w:hAnsi="Times New Roman"/>
          <w:i w:val="false"/>
          <w:iCs w:val="false"/>
          <w:color w:val="000000"/>
          <w:spacing w:val="-6"/>
          <w:w w:val="105"/>
          <w:sz w:val="22"/>
          <w:szCs w:val="22"/>
          <w:shd w:fill="auto" w:val="clear"/>
        </w:rPr>
        <w:t xml:space="preserve">na </w:t>
      </w:r>
      <w:r>
        <w:rPr>
          <w:rStyle w:val="Domylnaczcionkaakapitu"/>
          <w:rFonts w:ascii="Times New Roman" w:hAnsi="Times New Roman"/>
          <w:i w:val="false"/>
          <w:iCs w:val="false"/>
          <w:color w:val="000000"/>
          <w:w w:val="105"/>
          <w:sz w:val="22"/>
          <w:szCs w:val="22"/>
          <w:shd w:fill="auto" w:val="clear"/>
        </w:rPr>
        <w:t>innych wysokościach oraz</w:t>
      </w:r>
      <w:r>
        <w:rPr>
          <w:rStyle w:val="Domylnaczcionkaakapitu"/>
          <w:rFonts w:ascii="Times New Roman" w:hAnsi="Times New Roman"/>
          <w:i w:val="false"/>
          <w:iCs w:val="false"/>
          <w:color w:val="000000"/>
          <w:spacing w:val="-1"/>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elementów instalacji elektrycznej i</w:t>
      </w:r>
      <w:r>
        <w:rPr>
          <w:rStyle w:val="Domylnaczcionkaakapitu"/>
          <w:rFonts w:ascii="Times New Roman" w:hAnsi="Times New Roman"/>
          <w:i w:val="false"/>
          <w:iCs w:val="false"/>
          <w:color w:val="000000"/>
          <w:spacing w:val="-2"/>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systemów komunikacji używanych wyłącznie do celów technicznych.</w:t>
      </w:r>
    </w:p>
    <w:p>
      <w:pPr>
        <w:pStyle w:val="Akapitzlist"/>
        <w:numPr>
          <w:ilvl w:val="0"/>
          <w:numId w:val="39"/>
        </w:numPr>
        <w:tabs>
          <w:tab w:val="left" w:pos="800" w:leader="none"/>
        </w:tabs>
        <w:spacing w:lineRule="auto" w:line="288" w:before="72" w:after="0"/>
        <w:ind w:hanging="279" w:left="800" w:right="1239"/>
        <w:rPr/>
      </w:pPr>
      <w:r>
        <w:rPr>
          <w:rStyle w:val="Domylnaczcionkaakapitu"/>
          <w:rFonts w:ascii="Times New Roman" w:hAnsi="Times New Roman"/>
          <w:i w:val="false"/>
          <w:iCs w:val="false"/>
          <w:color w:val="000000"/>
          <w:w w:val="105"/>
          <w:sz w:val="22"/>
          <w:szCs w:val="22"/>
          <w:shd w:fill="auto" w:val="clear"/>
        </w:rPr>
        <w:t>Gniazda</w:t>
      </w:r>
      <w:r>
        <w:rPr>
          <w:rStyle w:val="Domylnaczcionkaakapitu"/>
          <w:rFonts w:ascii="Times New Roman" w:hAnsi="Times New Roman"/>
          <w:i w:val="false"/>
          <w:iCs w:val="false"/>
          <w:color w:val="000000"/>
          <w:spacing w:val="-2"/>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i</w:t>
      </w:r>
      <w:r>
        <w:rPr>
          <w:rStyle w:val="Domylnaczcionkaakapitu"/>
          <w:rFonts w:ascii="Times New Roman" w:hAnsi="Times New Roman"/>
          <w:i w:val="false"/>
          <w:iCs w:val="false"/>
          <w:color w:val="000000"/>
          <w:spacing w:val="-9"/>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kontakty są</w:t>
      </w:r>
      <w:r>
        <w:rPr>
          <w:rStyle w:val="Domylnaczcionkaakapitu"/>
          <w:rFonts w:ascii="Times New Roman" w:hAnsi="Times New Roman"/>
          <w:i w:val="false"/>
          <w:iCs w:val="false"/>
          <w:color w:val="000000"/>
          <w:spacing w:val="-14"/>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obsługiwane jednak</w:t>
      </w:r>
      <w:r>
        <w:rPr>
          <w:rStyle w:val="Domylnaczcionkaakapitu"/>
          <w:rFonts w:ascii="Times New Roman" w:hAnsi="Times New Roman"/>
          <w:i w:val="false"/>
          <w:iCs w:val="false"/>
          <w:color w:val="000000"/>
          <w:spacing w:val="-10"/>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ręką</w:t>
      </w:r>
      <w:r>
        <w:rPr>
          <w:rStyle w:val="Domylnaczcionkaakapitu"/>
          <w:rFonts w:ascii="Times New Roman" w:hAnsi="Times New Roman"/>
          <w:i w:val="false"/>
          <w:iCs w:val="false"/>
          <w:color w:val="000000"/>
          <w:spacing w:val="-17"/>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i</w:t>
      </w:r>
      <w:r>
        <w:rPr>
          <w:rStyle w:val="Domylnaczcionkaakapitu"/>
          <w:rFonts w:ascii="Times New Roman" w:hAnsi="Times New Roman"/>
          <w:i w:val="false"/>
          <w:iCs w:val="false"/>
          <w:color w:val="000000"/>
          <w:spacing w:val="-17"/>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nie</w:t>
      </w:r>
      <w:r>
        <w:rPr>
          <w:rStyle w:val="Domylnaczcionkaakapitu"/>
          <w:rFonts w:ascii="Times New Roman" w:hAnsi="Times New Roman"/>
          <w:i w:val="false"/>
          <w:iCs w:val="false"/>
          <w:color w:val="000000"/>
          <w:spacing w:val="-8"/>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wymagają</w:t>
      </w:r>
      <w:r>
        <w:rPr>
          <w:rStyle w:val="Domylnaczcionkaakapitu"/>
          <w:rFonts w:ascii="Times New Roman" w:hAnsi="Times New Roman"/>
          <w:i w:val="false"/>
          <w:iCs w:val="false"/>
          <w:color w:val="000000"/>
          <w:spacing w:val="-6"/>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ruchu</w:t>
      </w:r>
      <w:r>
        <w:rPr>
          <w:rStyle w:val="Domylnaczcionkaakapitu"/>
          <w:rFonts w:ascii="Times New Roman" w:hAnsi="Times New Roman"/>
          <w:i w:val="false"/>
          <w:iCs w:val="false"/>
          <w:color w:val="000000"/>
          <w:spacing w:val="-4"/>
          <w:w w:val="105"/>
          <w:sz w:val="22"/>
          <w:szCs w:val="22"/>
          <w:shd w:fill="auto" w:val="clear"/>
        </w:rPr>
        <w:t xml:space="preserve"> </w:t>
      </w:r>
      <w:r>
        <w:rPr>
          <w:rStyle w:val="Domylnaczcionkaakapitu"/>
          <w:rFonts w:ascii="Times New Roman" w:hAnsi="Times New Roman"/>
          <w:i w:val="false"/>
          <w:iCs w:val="false"/>
          <w:color w:val="000000"/>
          <w:w w:val="105"/>
          <w:sz w:val="22"/>
          <w:szCs w:val="22"/>
          <w:shd w:fill="auto" w:val="clear"/>
        </w:rPr>
        <w:t>obrotowego nadgarstkiem, mocnego chwytania i ściskania.</w:t>
      </w:r>
    </w:p>
    <w:p>
      <w:pPr>
        <w:pStyle w:val="Akapitzlist"/>
        <w:numPr>
          <w:ilvl w:val="0"/>
          <w:numId w:val="39"/>
        </w:numPr>
        <w:tabs>
          <w:tab w:val="left" w:pos="800" w:leader="none"/>
        </w:tabs>
        <w:spacing w:lineRule="auto" w:line="288" w:before="72" w:after="0"/>
        <w:ind w:hanging="279" w:left="800" w:right="1239"/>
        <w:rPr/>
      </w:pPr>
      <w:r>
        <w:rPr>
          <w:rStyle w:val="Domylnaczcionkaakapitu"/>
          <w:rFonts w:ascii="Times New Roman" w:hAnsi="Times New Roman"/>
          <w:i w:val="false"/>
          <w:iCs w:val="false"/>
          <w:color w:val="000000"/>
          <w:w w:val="105"/>
          <w:sz w:val="22"/>
          <w:szCs w:val="22"/>
          <w:shd w:fill="auto" w:val="clear"/>
        </w:rPr>
        <w:t>Przycisk alarmowy znajduje się na wysokości maksymalnie 40cm i wymaga użycia siły nie większej niż 30 N</w:t>
      </w:r>
    </w:p>
    <w:p>
      <w:pPr>
        <w:pStyle w:val="BodyText"/>
        <w:tabs>
          <w:tab w:val="clear" w:pos="708"/>
        </w:tabs>
        <w:spacing w:lineRule="auto" w:line="288" w:before="72" w:after="0"/>
        <w:ind w:hanging="3" w:left="880" w:right="1354"/>
        <w:rPr>
          <w:rFonts w:ascii="Times New Roman" w:hAnsi="Times New Roman"/>
          <w:i w:val="false"/>
          <w:iCs w:val="false"/>
          <w:color w:val="000000"/>
          <w:sz w:val="22"/>
          <w:szCs w:val="22"/>
          <w:shd w:fill="auto" w:val="clear"/>
        </w:rPr>
      </w:pPr>
      <w:r>
        <w:rPr>
          <w:i w:val="false"/>
          <w:iCs w:val="false"/>
          <w:color w:val="000000"/>
          <w:sz w:val="22"/>
          <w:szCs w:val="22"/>
          <w:shd w:fill="auto" w:val="clear"/>
        </w:rPr>
      </w:r>
    </w:p>
    <w:p>
      <w:pPr>
        <w:pStyle w:val="NoSpacing"/>
        <w:spacing w:lineRule="auto" w:line="360"/>
        <w:ind w:hanging="0" w:left="0"/>
        <w:rPr>
          <w:color w:val="000000"/>
        </w:rPr>
      </w:pPr>
      <w:r>
        <w:rPr>
          <w:rFonts w:ascii="Times New Roman" w:hAnsi="Times New Roman"/>
          <w:b/>
          <w:bCs/>
          <w:color w:val="000000"/>
          <w:shd w:fill="auto" w:val="clear"/>
          <w:lang w:eastAsia="pl-PL"/>
        </w:rPr>
        <w:t xml:space="preserve">2.2.5. Wpływ obiektu na środowisko i jego wykorzystywanie oraz na zdrowie ludzi i obiekty sąsiednie </w:t>
      </w:r>
    </w:p>
    <w:p>
      <w:pPr>
        <w:pStyle w:val="NoSpacing"/>
        <w:spacing w:lineRule="auto" w:line="360"/>
        <w:ind w:hanging="0" w:left="0"/>
        <w:rPr>
          <w:color w:val="000000"/>
        </w:rPr>
      </w:pPr>
      <w:r>
        <w:rPr>
          <w:rFonts w:ascii="Times New Roman" w:hAnsi="Times New Roman"/>
          <w:bCs/>
          <w:color w:val="000000"/>
          <w:shd w:fill="auto" w:val="clear"/>
          <w:lang w:eastAsia="pl-PL"/>
        </w:rPr>
        <w:t>- Przyjęte w projekcie rozwiązania przestrzenne, funkcjonalne i techniczne wykazują się ograniczeniem i eliminacją wpływu obiektu budowlanego na środowisko przyrodnicze, zdrowie ludzi i inne obiekty budowlane.</w:t>
      </w:r>
      <w:r>
        <w:rPr>
          <w:rFonts w:ascii="Times New Roman" w:hAnsi="Times New Roman"/>
          <w:bCs/>
          <w:color w:val="000000"/>
          <w:shd w:fill="FFFF00" w:val="clear"/>
          <w:lang w:eastAsia="pl-PL"/>
        </w:rPr>
        <w:br/>
      </w:r>
      <w:r>
        <w:rPr>
          <w:rFonts w:ascii="Times New Roman" w:hAnsi="Times New Roman"/>
          <w:bCs/>
          <w:color w:val="000000"/>
          <w:shd w:fill="auto" w:val="clear"/>
          <w:lang w:eastAsia="pl-PL"/>
        </w:rPr>
        <w:t>- Budynek zaopatrywany będzie w wodę z wodociągu gminnego do celów użytkowych (obsługa sanitariatów) w ilości nieprzekraczającej ponadnormatywne zużycie, a ścieki odprowadzane będą do sieci kanalizacyjnej.</w:t>
        <w:br/>
        <w:t>- Budynek ogrzewany jest z wewnętrznej kotłowni gazowej.</w:t>
      </w:r>
      <w:r>
        <w:rPr>
          <w:rFonts w:ascii="Times New Roman" w:hAnsi="Times New Roman"/>
          <w:bCs/>
          <w:color w:val="000000"/>
          <w:shd w:fill="FFFF00" w:val="clear"/>
          <w:lang w:eastAsia="pl-PL"/>
        </w:rPr>
        <w:br/>
      </w:r>
      <w:r>
        <w:rPr>
          <w:rFonts w:ascii="Times New Roman" w:hAnsi="Times New Roman"/>
          <w:bCs/>
          <w:color w:val="000000"/>
          <w:shd w:fill="auto" w:val="clear"/>
          <w:lang w:eastAsia="pl-PL"/>
        </w:rPr>
        <w:t>- Wytwarzane odpady będą związane z użytkowaniem obiektu przez pracowników, które można bezpiecznie wywozić w ramach obsługi przez spółkę komunalną.</w:t>
        <w:br/>
        <w:t>- Właściwości akustyczne, emisji drgań, promieniowania czy innych zakłóceń elementów zaprojektowanych w budynku nie będą ponad normatywnie wpływać na środowisko, ludzi i tereny sąsiednie.</w:t>
      </w:r>
    </w:p>
    <w:p>
      <w:pPr>
        <w:pStyle w:val="Heading1"/>
        <w:numPr>
          <w:ilvl w:val="0"/>
          <w:numId w:val="0"/>
        </w:numPr>
        <w:ind w:hanging="0" w:left="720"/>
        <w:rPr>
          <w:color w:val="000000"/>
        </w:rPr>
      </w:pPr>
      <w:bookmarkStart w:id="5" w:name="__RefHeading___Toc8832_1000694973"/>
      <w:bookmarkEnd w:id="5"/>
      <w:r>
        <w:rPr/>
        <w:t xml:space="preserve">3. ARCHITEKTURA </w:t>
      </w:r>
    </w:p>
    <w:p>
      <w:pPr>
        <w:pStyle w:val="Normal"/>
        <w:spacing w:lineRule="auto" w:line="360" w:before="0" w:after="0"/>
        <w:ind w:hanging="0" w:left="0"/>
        <w:rPr>
          <w:color w:val="000000"/>
        </w:rPr>
      </w:pPr>
      <w:r>
        <w:rPr>
          <w:b/>
          <w:bCs/>
          <w:color w:val="000000"/>
          <w:sz w:val="22"/>
          <w:szCs w:val="22"/>
          <w:shd w:fill="auto" w:val="clear"/>
          <w:lang w:eastAsia="pl-PL"/>
        </w:rPr>
        <w:t>Zapewnienie wymagań stawianych budynkom</w:t>
      </w:r>
    </w:p>
    <w:p>
      <w:pPr>
        <w:pStyle w:val="Normal"/>
        <w:spacing w:lineRule="auto" w:line="360" w:before="0" w:after="0"/>
        <w:ind w:hanging="0" w:left="0"/>
        <w:rPr>
          <w:color w:val="000000"/>
        </w:rPr>
      </w:pPr>
      <w:r>
        <w:rPr>
          <w:color w:val="000000"/>
          <w:sz w:val="22"/>
          <w:szCs w:val="22"/>
          <w:shd w:fill="auto" w:val="clear"/>
          <w:lang w:eastAsia="pl-PL"/>
        </w:rPr>
        <w:t xml:space="preserve">Istniejący obiekt budowlany, wraz ze związanymi z nim urządzeniami budowlanymi został zaprojektowany w sposób określony w przepisach, w tym techniczno-budowlanych, oraz zgodnie z zasadami wiedzy technicznej obowiązującymi w czasie jego realizacji. </w:t>
      </w:r>
    </w:p>
    <w:p>
      <w:pPr>
        <w:pStyle w:val="Heading1"/>
        <w:numPr>
          <w:ilvl w:val="0"/>
          <w:numId w:val="0"/>
        </w:numPr>
        <w:ind w:hanging="0" w:left="720"/>
        <w:rPr>
          <w:color w:val="000000"/>
        </w:rPr>
      </w:pPr>
      <w:bookmarkStart w:id="6" w:name="__RefHeading___Toc8834_1000694973"/>
      <w:bookmarkEnd w:id="6"/>
      <w:r>
        <w:rPr/>
        <w:t>4. KONSTRUKCJA</w:t>
      </w:r>
    </w:p>
    <w:p>
      <w:pPr>
        <w:pStyle w:val="Akapitzlist1"/>
        <w:spacing w:lineRule="auto" w:line="360"/>
        <w:ind w:hanging="0" w:left="0" w:right="0"/>
        <w:jc w:val="both"/>
        <w:rPr>
          <w:color w:val="000000"/>
        </w:rPr>
      </w:pPr>
      <w:r>
        <w:rPr>
          <w:color w:val="000000"/>
          <w:sz w:val="22"/>
          <w:szCs w:val="22"/>
          <w:shd w:fill="auto" w:val="clear"/>
        </w:rPr>
        <w:t>Zostaną wykonane przebudowy nadproży drzwiowych w ścianach nośnych – szczegóły w projekcie technicznym.</w:t>
      </w:r>
    </w:p>
    <w:p>
      <w:pPr>
        <w:pStyle w:val="Heading1"/>
        <w:numPr>
          <w:ilvl w:val="0"/>
          <w:numId w:val="0"/>
        </w:numPr>
        <w:ind w:hanging="0" w:left="720"/>
        <w:rPr>
          <w:color w:val="000000"/>
        </w:rPr>
      </w:pPr>
      <w:bookmarkStart w:id="7" w:name="__RefHeading___Toc8836_1000694973"/>
      <w:bookmarkEnd w:id="7"/>
      <w:r>
        <w:rPr/>
        <w:t>5. WYKOŃCZENIE WEWNĄTRZ BUDYNKU</w:t>
      </w:r>
    </w:p>
    <w:p>
      <w:pPr>
        <w:pStyle w:val="Normal"/>
        <w:numPr>
          <w:ilvl w:val="0"/>
          <w:numId w:val="5"/>
        </w:numPr>
        <w:spacing w:lineRule="auto" w:line="360" w:before="100" w:after="0"/>
        <w:jc w:val="both"/>
        <w:rPr>
          <w:color w:val="000000"/>
        </w:rPr>
      </w:pPr>
      <w:r>
        <w:rPr>
          <w:rFonts w:eastAsia="Times New Roman"/>
          <w:color w:val="000000"/>
          <w:sz w:val="22"/>
          <w:szCs w:val="22"/>
          <w:shd w:fill="auto" w:val="clear"/>
          <w:lang w:eastAsia="pl-PL"/>
        </w:rPr>
        <w:t>Płytki ścienne i podłogowe ceramiczne kontrastujące kolorystycznie z sobą. Płytki na ścianach do pełnej wysokości ścian, w układzie poziomym 30x60cm. Płytki na posadzce 60x60cm. Płytki niepołyskliwe w klasie antypoślizgowe R10</w:t>
      </w:r>
    </w:p>
    <w:p>
      <w:pPr>
        <w:pStyle w:val="Normal"/>
        <w:numPr>
          <w:ilvl w:val="0"/>
          <w:numId w:val="5"/>
        </w:numPr>
        <w:spacing w:lineRule="auto" w:line="360" w:before="100" w:after="0"/>
        <w:jc w:val="both"/>
        <w:rPr>
          <w:color w:val="000000"/>
        </w:rPr>
      </w:pPr>
      <w:r>
        <w:rPr>
          <w:rFonts w:eastAsia="Times New Roman"/>
          <w:color w:val="000000"/>
          <w:sz w:val="22"/>
          <w:szCs w:val="22"/>
          <w:shd w:fill="auto" w:val="clear"/>
          <w:lang w:eastAsia="pl-PL"/>
        </w:rPr>
        <w:t>Hydroizolacje w strefie posadzki wykonać z elastycznej powłoki uszczelniającej, z wywinięciem na ściany minimum 30cm.</w:t>
      </w:r>
    </w:p>
    <w:p>
      <w:pPr>
        <w:pStyle w:val="Normal"/>
        <w:numPr>
          <w:ilvl w:val="0"/>
          <w:numId w:val="5"/>
        </w:numPr>
        <w:spacing w:lineRule="auto" w:line="360" w:before="100" w:after="0"/>
        <w:jc w:val="both"/>
        <w:rPr>
          <w:color w:val="000000"/>
        </w:rPr>
      </w:pPr>
      <w:r>
        <w:rPr>
          <w:rFonts w:eastAsia="Times New Roman"/>
          <w:color w:val="000000"/>
          <w:sz w:val="22"/>
          <w:szCs w:val="22"/>
          <w:shd w:fill="auto" w:val="clear"/>
          <w:lang w:eastAsia="pl-PL"/>
        </w:rPr>
        <w:t xml:space="preserve">Powłoki malarskie wykonać z farby lateksowej w kolorze uzgodnionym z zarządcą obiektu. </w:t>
      </w:r>
    </w:p>
    <w:p>
      <w:pPr>
        <w:pStyle w:val="Normal"/>
        <w:numPr>
          <w:ilvl w:val="0"/>
          <w:numId w:val="5"/>
        </w:numPr>
        <w:spacing w:lineRule="auto" w:line="360" w:before="100" w:after="0"/>
        <w:jc w:val="both"/>
        <w:rPr>
          <w:color w:val="000000"/>
        </w:rPr>
      </w:pPr>
      <w:r>
        <w:rPr>
          <w:rFonts w:eastAsia="Times New Roman"/>
          <w:color w:val="000000"/>
          <w:sz w:val="22"/>
          <w:szCs w:val="22"/>
          <w:shd w:fill="auto" w:val="clear"/>
          <w:lang w:eastAsia="pl-PL"/>
        </w:rPr>
        <w:t>Drzwi drewniane wraz z ościeżnicą o wymiarze otworu 100x210cm, o wymiarze przejścia minimum 90cm, w okleinie CPL w kolorze drewnopodobnym jasnym dostosowanym do istniejących drzwi na korytarzu, z klamką i wkładką pod zamykanie od środka (rozwiązanie typowe jak dla łazienek), bez progowe, z otworami nawietrzającymi w dolnej części drzwi.</w:t>
      </w:r>
    </w:p>
    <w:p>
      <w:pPr>
        <w:pStyle w:val="Heading1"/>
        <w:numPr>
          <w:ilvl w:val="0"/>
          <w:numId w:val="0"/>
        </w:numPr>
        <w:ind w:hanging="0" w:left="720"/>
        <w:rPr>
          <w:color w:val="000000"/>
        </w:rPr>
      </w:pPr>
      <w:bookmarkStart w:id="8" w:name="__RefHeading___Toc8838_1000694973"/>
      <w:bookmarkEnd w:id="8"/>
      <w:r>
        <w:rPr/>
        <w:t xml:space="preserve">6. INSTALACJE </w:t>
      </w:r>
    </w:p>
    <w:p>
      <w:pPr>
        <w:pStyle w:val="Normal"/>
        <w:spacing w:lineRule="auto" w:line="360" w:before="100" w:after="0"/>
        <w:ind w:hanging="0" w:left="0"/>
        <w:jc w:val="both"/>
        <w:rPr>
          <w:color w:val="000000"/>
        </w:rPr>
      </w:pPr>
      <w:r>
        <w:rPr>
          <w:rFonts w:eastAsia="Times New Roman"/>
          <w:color w:val="000000"/>
          <w:sz w:val="22"/>
          <w:szCs w:val="22"/>
          <w:shd w:fill="auto" w:val="clear"/>
          <w:lang w:eastAsia="pl-PL"/>
        </w:rPr>
        <w:t xml:space="preserve">W ramach przewidywanych prac adaptacyjnych zostaną wykonane drobne przebudowy wewnętrznych instalacji użytkowych wod.-kan.  i elektrycznej. </w:t>
      </w:r>
    </w:p>
    <w:p>
      <w:pPr>
        <w:pStyle w:val="Normal"/>
        <w:numPr>
          <w:ilvl w:val="0"/>
          <w:numId w:val="6"/>
        </w:numPr>
        <w:spacing w:lineRule="auto" w:line="360" w:before="100" w:after="0"/>
        <w:jc w:val="both"/>
        <w:rPr>
          <w:color w:val="000000"/>
        </w:rPr>
      </w:pPr>
      <w:r>
        <w:rPr>
          <w:rFonts w:eastAsia="Times New Roman"/>
          <w:color w:val="000000"/>
          <w:sz w:val="22"/>
          <w:szCs w:val="22"/>
          <w:shd w:fill="auto" w:val="clear"/>
          <w:lang w:eastAsia="pl-PL"/>
        </w:rPr>
        <w:t>Należy wykonać przedłużenie odpływu kanalizacyjnego rurą PVC fi 110 od projektowanych muszli do istniejącego wejścia pod posadzką</w:t>
      </w:r>
    </w:p>
    <w:p>
      <w:pPr>
        <w:pStyle w:val="Normal"/>
        <w:numPr>
          <w:ilvl w:val="0"/>
          <w:numId w:val="6"/>
        </w:numPr>
        <w:spacing w:lineRule="auto" w:line="360" w:before="100" w:after="0"/>
        <w:jc w:val="both"/>
        <w:rPr>
          <w:color w:val="000000"/>
        </w:rPr>
      </w:pPr>
      <w:r>
        <w:rPr>
          <w:rFonts w:eastAsia="Times New Roman"/>
          <w:color w:val="000000"/>
          <w:sz w:val="22"/>
          <w:szCs w:val="22"/>
          <w:shd w:fill="auto" w:val="clear"/>
          <w:lang w:eastAsia="pl-PL"/>
        </w:rPr>
        <w:t>Wykonać przebudowę instalacji zimnej wody doprowadzając ją do spłuczek zamontowanych w nowych lokalizacjach</w:t>
      </w:r>
    </w:p>
    <w:p>
      <w:pPr>
        <w:pStyle w:val="Normal"/>
        <w:numPr>
          <w:ilvl w:val="0"/>
          <w:numId w:val="6"/>
        </w:numPr>
        <w:spacing w:lineRule="auto" w:line="360" w:before="100" w:after="0"/>
        <w:jc w:val="both"/>
        <w:rPr>
          <w:color w:val="000000"/>
        </w:rPr>
      </w:pPr>
      <w:r>
        <w:rPr>
          <w:rFonts w:eastAsia="Times New Roman"/>
          <w:color w:val="000000"/>
          <w:sz w:val="22"/>
          <w:szCs w:val="22"/>
          <w:shd w:fill="auto" w:val="clear"/>
          <w:lang w:eastAsia="pl-PL"/>
        </w:rPr>
        <w:t>Należy zamontować dodatkowy zawór czerpalny, z złączką do węża i podpięciem zimnej wody pod umywalką.</w:t>
      </w:r>
    </w:p>
    <w:p>
      <w:pPr>
        <w:pStyle w:val="Normal"/>
        <w:numPr>
          <w:ilvl w:val="0"/>
          <w:numId w:val="6"/>
        </w:numPr>
        <w:spacing w:lineRule="auto" w:line="360" w:before="100" w:after="0"/>
        <w:jc w:val="both"/>
        <w:rPr>
          <w:color w:val="000000"/>
        </w:rPr>
      </w:pPr>
      <w:r>
        <w:rPr>
          <w:rFonts w:eastAsia="Times New Roman"/>
          <w:color w:val="000000"/>
          <w:sz w:val="22"/>
          <w:szCs w:val="22"/>
          <w:shd w:fill="auto" w:val="clear"/>
          <w:lang w:eastAsia="pl-PL"/>
        </w:rPr>
        <w:t>Należy wykonać przebudowę instalacji elektrycznej w zakresie dostosowania włączników i gniazd do odpowiedniej wysokości (w zakresie toalety dla niepełnosprawnych, korytarza, części pomieszczeń).</w:t>
      </w:r>
    </w:p>
    <w:p>
      <w:pPr>
        <w:pStyle w:val="Normal"/>
        <w:numPr>
          <w:ilvl w:val="0"/>
          <w:numId w:val="6"/>
        </w:numPr>
        <w:spacing w:lineRule="auto" w:line="360" w:before="100" w:after="0"/>
        <w:jc w:val="both"/>
        <w:rPr>
          <w:color w:val="000000"/>
        </w:rPr>
      </w:pPr>
      <w:r>
        <w:rPr>
          <w:rFonts w:eastAsia="Times New Roman"/>
          <w:b w:val="false"/>
          <w:bCs w:val="false"/>
          <w:i w:val="false"/>
          <w:iCs w:val="false"/>
          <w:caps w:val="false"/>
          <w:smallCaps w:val="false"/>
          <w:color w:val="000000"/>
          <w:spacing w:val="0"/>
          <w:sz w:val="22"/>
          <w:szCs w:val="22"/>
          <w:shd w:fill="auto" w:val="clear"/>
          <w:lang w:eastAsia="pl-PL"/>
        </w:rPr>
        <w:t>Należy wykonać dodatkowy przycisk alarmowy znajdujący się 40 cm ponad posadzką w miejscu łatwo dostępnym i widocznym, który będzie aktywować alarm w pomieszczeniu obsługi</w:t>
      </w:r>
      <w:r>
        <w:rPr>
          <w:rFonts w:eastAsia="Times New Roman"/>
          <w:b w:val="false"/>
          <w:bCs w:val="false"/>
          <w:i w:val="false"/>
          <w:iCs w:val="false"/>
          <w:color w:val="000000"/>
          <w:sz w:val="22"/>
          <w:szCs w:val="22"/>
          <w:shd w:fill="auto" w:val="clear"/>
          <w:lang w:eastAsia="pl-PL"/>
        </w:rPr>
        <w:t xml:space="preserve"> </w:t>
      </w:r>
    </w:p>
    <w:p>
      <w:pPr>
        <w:pStyle w:val="Normal"/>
        <w:numPr>
          <w:ilvl w:val="0"/>
          <w:numId w:val="6"/>
        </w:numPr>
        <w:spacing w:lineRule="auto" w:line="360" w:before="100" w:after="0"/>
        <w:jc w:val="both"/>
        <w:rPr>
          <w:rFonts w:ascii="Times New Roman" w:hAnsi="Times New Roman" w:eastAsia="Times New Roman"/>
          <w:b w:val="false"/>
          <w:bCs w:val="false"/>
          <w:i w:val="false"/>
          <w:iCs w:val="false"/>
          <w:color w:val="000000"/>
          <w:sz w:val="22"/>
          <w:szCs w:val="22"/>
          <w:shd w:fill="auto" w:val="clear"/>
          <w:lang w:eastAsia="pl-PL"/>
        </w:rPr>
      </w:pPr>
      <w:r>
        <w:rPr>
          <w:rFonts w:eastAsia="Times New Roman"/>
          <w:b w:val="false"/>
          <w:bCs w:val="false"/>
          <w:i w:val="false"/>
          <w:iCs w:val="false"/>
          <w:color w:val="000000"/>
          <w:sz w:val="22"/>
          <w:szCs w:val="22"/>
          <w:shd w:fill="auto" w:val="clear"/>
          <w:lang w:eastAsia="pl-PL"/>
        </w:rPr>
        <w:t>Należy wykonać przebudowę instalacji hydrantowej w budynku.</w:t>
      </w:r>
    </w:p>
    <w:p>
      <w:pPr>
        <w:pStyle w:val="Normal"/>
        <w:numPr>
          <w:ilvl w:val="0"/>
          <w:numId w:val="6"/>
        </w:numPr>
        <w:spacing w:lineRule="auto" w:line="360" w:before="100" w:after="0"/>
        <w:jc w:val="both"/>
        <w:rPr>
          <w:rFonts w:ascii="Times New Roman" w:hAnsi="Times New Roman" w:eastAsia="Times New Roman"/>
          <w:b w:val="false"/>
          <w:bCs w:val="false"/>
          <w:i w:val="false"/>
          <w:iCs w:val="false"/>
          <w:color w:val="000000"/>
          <w:sz w:val="22"/>
          <w:szCs w:val="22"/>
          <w:shd w:fill="auto" w:val="clear"/>
          <w:lang w:eastAsia="pl-PL"/>
        </w:rPr>
      </w:pPr>
      <w:r>
        <w:rPr>
          <w:rFonts w:eastAsia="Times New Roman"/>
          <w:b w:val="false"/>
          <w:bCs w:val="false"/>
          <w:i w:val="false"/>
          <w:iCs w:val="false"/>
          <w:color w:val="000000"/>
          <w:sz w:val="22"/>
          <w:szCs w:val="22"/>
          <w:shd w:fill="auto" w:val="clear"/>
          <w:lang w:eastAsia="pl-PL"/>
        </w:rPr>
        <w:t>Należy wykonać przebudowę instalacji oświetlenia ewakuacyjnego</w:t>
      </w:r>
    </w:p>
    <w:p>
      <w:pPr>
        <w:pStyle w:val="Normal"/>
        <w:numPr>
          <w:ilvl w:val="0"/>
          <w:numId w:val="6"/>
        </w:numPr>
        <w:spacing w:lineRule="auto" w:line="360" w:before="100" w:after="0"/>
        <w:jc w:val="both"/>
        <w:rPr>
          <w:rFonts w:ascii="Times New Roman" w:hAnsi="Times New Roman" w:eastAsia="Times New Roman"/>
          <w:b w:val="false"/>
          <w:bCs w:val="false"/>
          <w:i w:val="false"/>
          <w:iCs w:val="false"/>
          <w:color w:val="000000"/>
          <w:sz w:val="22"/>
          <w:szCs w:val="22"/>
          <w:shd w:fill="auto" w:val="clear"/>
          <w:lang w:eastAsia="pl-PL"/>
        </w:rPr>
      </w:pPr>
      <w:r>
        <w:rPr>
          <w:rFonts w:eastAsia="Times New Roman"/>
          <w:b w:val="false"/>
          <w:bCs w:val="false"/>
          <w:i w:val="false"/>
          <w:iCs w:val="false"/>
          <w:color w:val="000000"/>
          <w:sz w:val="22"/>
          <w:szCs w:val="22"/>
          <w:shd w:fill="auto" w:val="clear"/>
          <w:lang w:eastAsia="pl-PL"/>
        </w:rPr>
        <w:t>Należy wykonać instalację sygnalizacji alarmowej dymowej.</w:t>
      </w:r>
    </w:p>
    <w:p>
      <w:pPr>
        <w:pStyle w:val="Heading1"/>
        <w:numPr>
          <w:ilvl w:val="0"/>
          <w:numId w:val="0"/>
        </w:numPr>
        <w:ind w:hanging="0" w:left="720"/>
        <w:rPr>
          <w:rFonts w:ascii="Times New Roman" w:hAnsi="Times New Roman" w:eastAsia="Times New Roman"/>
          <w:b/>
          <w:bCs/>
          <w:i w:val="false"/>
          <w:iCs w:val="false"/>
          <w:color w:val="000000"/>
          <w:sz w:val="22"/>
          <w:szCs w:val="22"/>
          <w:shd w:fill="auto" w:val="clear"/>
          <w:lang w:eastAsia="pl-PL"/>
        </w:rPr>
      </w:pPr>
      <w:bookmarkStart w:id="9" w:name="__RefHeading___Toc8840_1000694973_kopia_"/>
      <w:bookmarkEnd w:id="9"/>
      <w:r>
        <w:rPr/>
        <w:t>7. BEZPIECZEŃSTWO POŻAROWE</w:t>
      </w:r>
    </w:p>
    <w:p>
      <w:pPr>
        <w:pStyle w:val="Heading1"/>
        <w:keepNext w:val="true"/>
        <w:keepLines/>
        <w:widowControl w:val="false"/>
        <w:suppressAutoHyphens w:val="true"/>
        <w:overflowPunct w:val="false"/>
        <w:bidi w:val="0"/>
        <w:spacing w:lineRule="auto" w:line="276" w:before="480" w:after="0"/>
        <w:ind w:hanging="340" w:left="340" w:right="1928"/>
        <w:jc w:val="left"/>
        <w:rPr>
          <w:rFonts w:ascii="Times New Roman" w:hAnsi="Times New Roman"/>
          <w:color w:val="000000"/>
        </w:rPr>
      </w:pPr>
      <w:bookmarkStart w:id="10" w:name="__RefHeading___Toc411372029"/>
      <w:bookmarkEnd w:id="10"/>
      <w:r>
        <w:rPr>
          <w:color w:val="000000"/>
          <w:sz w:val="26"/>
          <w:szCs w:val="26"/>
        </w:rPr>
        <w:t xml:space="preserve">Charakterystyka obiektu pod względem pożarowym </w:t>
      </w:r>
    </w:p>
    <w:p>
      <w:pPr>
        <w:pStyle w:val="Heading2"/>
        <w:keepNext w:val="true"/>
        <w:keepLines/>
        <w:widowControl w:val="false"/>
        <w:tabs>
          <w:tab w:val="clear" w:pos="708"/>
          <w:tab w:val="left" w:pos="675" w:leader="none"/>
        </w:tabs>
        <w:suppressAutoHyphens w:val="true"/>
        <w:overflowPunct w:val="false"/>
        <w:bidi w:val="0"/>
        <w:spacing w:lineRule="auto" w:line="276" w:before="0" w:after="0"/>
        <w:ind w:hanging="340" w:left="340" w:right="2891"/>
        <w:jc w:val="left"/>
        <w:rPr/>
      </w:pPr>
      <w:bookmarkStart w:id="11" w:name="__RefHeading___Toc411372030"/>
      <w:bookmarkEnd w:id="11"/>
      <w:r>
        <w:rPr>
          <w:color w:val="000000"/>
        </w:rPr>
        <w:t>Powierzchnia, wysokość i liczba kondygnacji</w:t>
      </w:r>
    </w:p>
    <w:p>
      <w:pPr>
        <w:pStyle w:val="Normal"/>
        <w:ind w:hanging="0" w:left="0"/>
        <w:rPr>
          <w:rFonts w:ascii="Times New Roman" w:hAnsi="Times New Roman"/>
          <w:color w:val="000000"/>
        </w:rPr>
      </w:pPr>
      <w:r>
        <w:rPr>
          <w:color w:val="000000"/>
          <w:szCs w:val="24"/>
        </w:rPr>
        <w:t xml:space="preserve">Wysokość budynku Zespołu Szkolno-Przedszkolnego w Zalasowej, położonego przy ul. Karpackiej 21, w myśl przepisu </w:t>
      </w:r>
      <w:r>
        <w:rPr>
          <w:i/>
          <w:color w:val="000000"/>
          <w:szCs w:val="24"/>
        </w:rPr>
        <w:t>§ 6</w:t>
      </w:r>
      <w:r>
        <w:rPr>
          <w:color w:val="000000"/>
          <w:szCs w:val="24"/>
        </w:rPr>
        <w:t xml:space="preserve"> rozporządzenia – w sprawie warunków technicznych, jakim powinny odpowiadać budynki i ich usytuowanie, służąca do przyporządkowania temu budynkowi odpowiednich wymagań rozporządzenia, wynosi 11,63 m. Zgodnie z </w:t>
      </w:r>
      <w:r>
        <w:rPr>
          <w:i/>
          <w:color w:val="000000"/>
          <w:szCs w:val="24"/>
        </w:rPr>
        <w:t>§ 8 pkt 1</w:t>
      </w:r>
      <w:r>
        <w:rPr>
          <w:color w:val="000000"/>
          <w:szCs w:val="24"/>
        </w:rPr>
        <w:t xml:space="preserve"> rozporządzenia – w sprawie warunków technicznych, jakim powinny odpowiadać budynki i ich usytuowanie obiekt zakwalifikowano do grupy wysokości jako </w:t>
      </w:r>
      <w:r>
        <w:rPr>
          <w:b/>
          <w:color w:val="000000"/>
          <w:szCs w:val="24"/>
          <w:u w:val="single"/>
        </w:rPr>
        <w:t>niski (N).</w:t>
      </w:r>
    </w:p>
    <w:p>
      <w:pPr>
        <w:pStyle w:val="Heading2"/>
        <w:keepNext w:val="true"/>
        <w:keepLines/>
        <w:widowControl w:val="false"/>
        <w:tabs>
          <w:tab w:val="clear" w:pos="708"/>
          <w:tab w:val="left" w:pos="675" w:leader="none"/>
        </w:tabs>
        <w:suppressAutoHyphens w:val="true"/>
        <w:overflowPunct w:val="false"/>
        <w:bidi w:val="0"/>
        <w:spacing w:lineRule="auto" w:line="276" w:before="200" w:after="0"/>
        <w:ind w:hanging="340" w:left="397" w:right="964"/>
        <w:jc w:val="left"/>
        <w:rPr>
          <w:rFonts w:ascii="Times New Roman" w:hAnsi="Times New Roman"/>
          <w:color w:val="000000"/>
        </w:rPr>
      </w:pPr>
      <w:bookmarkStart w:id="14" w:name="__RefHeading___Toc8842_1000694973"/>
      <w:bookmarkEnd w:id="14"/>
      <w:r>
        <mc:AlternateContent>
          <mc:Choice Requires="wps">
            <w:drawing>
              <wp:anchor behindDoc="0" distT="0" distB="0" distL="89535" distR="89535" simplePos="0" locked="0" layoutInCell="0" allowOverlap="1" relativeHeight="4">
                <wp:simplePos x="0" y="0"/>
                <wp:positionH relativeFrom="margin">
                  <wp:align>center</wp:align>
                </wp:positionH>
                <wp:positionV relativeFrom="paragraph">
                  <wp:posOffset>66675</wp:posOffset>
                </wp:positionV>
                <wp:extent cx="4950460" cy="1549400"/>
                <wp:effectExtent l="0" t="0" r="0" b="0"/>
                <wp:wrapTopAndBottom/>
                <wp:docPr id="1" name="Ramka1"/>
                <a:graphic xmlns:a="http://schemas.openxmlformats.org/drawingml/2006/main">
                  <a:graphicData uri="http://schemas.microsoft.com/office/word/2010/wordprocessingShape">
                    <wps:wsp>
                      <wps:cNvSpPr/>
                      <wps:spPr>
                        <a:xfrm>
                          <a:off x="0" y="0"/>
                          <a:ext cx="4950360" cy="1549440"/>
                        </a:xfrm>
                        <a:prstGeom prst="rect">
                          <a:avLst/>
                        </a:prstGeom>
                        <a:noFill/>
                        <a:ln w="0">
                          <a:noFill/>
                        </a:ln>
                      </wps:spPr>
                      <wps:style>
                        <a:lnRef idx="0"/>
                        <a:fillRef idx="0"/>
                        <a:effectRef idx="0"/>
                        <a:fontRef idx="minor"/>
                      </wps:style>
                      <wps:txbx>
                        <w:txbxContent>
                          <w:tbl>
                            <w:tblPr>
                              <w:tblW w:w="7796" w:type="dxa"/>
                              <w:jc w:val="left"/>
                              <w:tblInd w:w="70" w:type="dxa"/>
                              <w:tblLayout w:type="fixed"/>
                              <w:tblCellMar>
                                <w:top w:w="0" w:type="dxa"/>
                                <w:left w:w="70" w:type="dxa"/>
                                <w:bottom w:w="0" w:type="dxa"/>
                                <w:right w:w="70" w:type="dxa"/>
                              </w:tblCellMar>
                            </w:tblPr>
                            <w:tblGrid>
                              <w:gridCol w:w="5670"/>
                              <w:gridCol w:w="2126"/>
                            </w:tblGrid>
                            <w:tr>
                              <w:trPr/>
                              <w:tc>
                                <w:tcPr>
                                  <w:tcW w:w="567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200"/>
                                    <w:ind w:hanging="0" w:left="0" w:right="0"/>
                                    <w:rPr>
                                      <w:b/>
                                      <w:bCs/>
                                      <w:szCs w:val="24"/>
                                    </w:rPr>
                                  </w:pPr>
                                  <w:bookmarkStart w:id="12" w:name="__RefHeading___Toc411372031"/>
                                  <w:bookmarkEnd w:id="12"/>
                                  <w:r>
                                    <w:rPr>
                                      <w:b/>
                                      <w:bCs/>
                                      <w:szCs w:val="24"/>
                                    </w:rPr>
                                    <w:t>Powierzchnia zabudowy</w:t>
                                  </w:r>
                                </w:p>
                              </w:tc>
                              <w:tc>
                                <w:tcPr>
                                  <w:tcW w:w="212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200"/>
                                    <w:ind w:hanging="0" w:left="0" w:right="0"/>
                                    <w:jc w:val="center"/>
                                    <w:rPr/>
                                  </w:pPr>
                                  <w:r>
                                    <w:rPr>
                                      <w:rFonts w:eastAsia="Arial" w:cs="Arial"/>
                                      <w:b/>
                                      <w:color w:val="000000"/>
                                      <w:szCs w:val="24"/>
                                    </w:rPr>
                                    <w:t>1764,98 m</w:t>
                                  </w:r>
                                  <w:r>
                                    <w:rPr>
                                      <w:rFonts w:eastAsia="Arial" w:cs="Arial"/>
                                      <w:b/>
                                      <w:color w:val="000000"/>
                                      <w:szCs w:val="24"/>
                                      <w:vertAlign w:val="superscript"/>
                                    </w:rPr>
                                    <w:t>2</w:t>
                                  </w:r>
                                </w:p>
                              </w:tc>
                            </w:tr>
                            <w:tr>
                              <w:trPr/>
                              <w:tc>
                                <w:tcPr>
                                  <w:tcW w:w="567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200"/>
                                    <w:ind w:hanging="0" w:left="0" w:right="0"/>
                                    <w:rPr>
                                      <w:b/>
                                      <w:bCs/>
                                      <w:color w:val="000000"/>
                                      <w:szCs w:val="24"/>
                                    </w:rPr>
                                  </w:pPr>
                                  <w:r>
                                    <w:rPr>
                                      <w:b/>
                                      <w:bCs/>
                                      <w:color w:val="000000"/>
                                      <w:szCs w:val="24"/>
                                    </w:rPr>
                                    <w:t>Powierzchnia użytkowa</w:t>
                                  </w:r>
                                </w:p>
                              </w:tc>
                              <w:tc>
                                <w:tcPr>
                                  <w:tcW w:w="212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200"/>
                                    <w:ind w:hanging="0" w:left="0" w:right="0"/>
                                    <w:jc w:val="center"/>
                                    <w:rPr/>
                                  </w:pPr>
                                  <w:r>
                                    <w:rPr>
                                      <w:b/>
                                      <w:color w:val="000000"/>
                                      <w:szCs w:val="24"/>
                                    </w:rPr>
                                    <w:t>3485,4 m</w:t>
                                  </w:r>
                                  <w:r>
                                    <w:rPr>
                                      <w:b/>
                                      <w:color w:val="000000"/>
                                      <w:szCs w:val="24"/>
                                      <w:vertAlign w:val="superscript"/>
                                    </w:rPr>
                                    <w:t>2</w:t>
                                  </w:r>
                                </w:p>
                              </w:tc>
                            </w:tr>
                            <w:tr>
                              <w:trPr/>
                              <w:tc>
                                <w:tcPr>
                                  <w:tcW w:w="567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200"/>
                                    <w:ind w:hanging="0" w:left="0" w:right="0"/>
                                    <w:rPr>
                                      <w:b/>
                                      <w:color w:val="000000"/>
                                      <w:szCs w:val="24"/>
                                    </w:rPr>
                                  </w:pPr>
                                  <w:r>
                                    <w:rPr>
                                      <w:b/>
                                      <w:color w:val="000000"/>
                                      <w:szCs w:val="24"/>
                                    </w:rPr>
                                    <w:t>Liczba kondygnacji nadziemnych</w:t>
                                  </w:r>
                                </w:p>
                              </w:tc>
                              <w:tc>
                                <w:tcPr>
                                  <w:tcW w:w="212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200"/>
                                    <w:ind w:hanging="0" w:left="0" w:right="0"/>
                                    <w:jc w:val="center"/>
                                    <w:rPr>
                                      <w:b/>
                                      <w:color w:val="000000"/>
                                      <w:szCs w:val="24"/>
                                    </w:rPr>
                                  </w:pPr>
                                  <w:r>
                                    <w:rPr>
                                      <w:b/>
                                      <w:color w:val="000000"/>
                                      <w:szCs w:val="24"/>
                                    </w:rPr>
                                    <w:t>3</w:t>
                                  </w:r>
                                </w:p>
                              </w:tc>
                            </w:tr>
                            <w:tr>
                              <w:trPr/>
                              <w:tc>
                                <w:tcPr>
                                  <w:tcW w:w="567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200"/>
                                    <w:ind w:hanging="0" w:left="0" w:right="0"/>
                                    <w:rPr>
                                      <w:b/>
                                      <w:bCs/>
                                      <w:color w:val="000000"/>
                                      <w:szCs w:val="24"/>
                                    </w:rPr>
                                  </w:pPr>
                                  <w:r>
                                    <w:rPr>
                                      <w:b/>
                                      <w:bCs/>
                                      <w:color w:val="000000"/>
                                      <w:szCs w:val="24"/>
                                    </w:rPr>
                                    <w:t>Liczba kondygnacji podziemnych</w:t>
                                  </w:r>
                                </w:p>
                              </w:tc>
                              <w:tc>
                                <w:tcPr>
                                  <w:tcW w:w="212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200"/>
                                    <w:ind w:hanging="0" w:left="0" w:right="0"/>
                                    <w:jc w:val="center"/>
                                    <w:rPr>
                                      <w:b/>
                                      <w:color w:val="000000"/>
                                      <w:szCs w:val="24"/>
                                    </w:rPr>
                                  </w:pPr>
                                  <w:r>
                                    <w:rPr>
                                      <w:b/>
                                      <w:color w:val="000000"/>
                                      <w:szCs w:val="24"/>
                                    </w:rPr>
                                    <w:t>1</w:t>
                                  </w:r>
                                </w:p>
                              </w:tc>
                            </w:tr>
                            <w:tr>
                              <w:trPr>
                                <w:trHeight w:val="692" w:hRule="atLeast"/>
                              </w:trPr>
                              <w:tc>
                                <w:tcPr>
                                  <w:tcW w:w="567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200"/>
                                    <w:ind w:hanging="0" w:left="0" w:right="0"/>
                                    <w:rPr>
                                      <w:b/>
                                      <w:bCs/>
                                      <w:color w:val="000000"/>
                                      <w:szCs w:val="24"/>
                                    </w:rPr>
                                  </w:pPr>
                                  <w:r>
                                    <w:rPr>
                                      <w:b/>
                                      <w:bCs/>
                                      <w:color w:val="000000"/>
                                      <w:szCs w:val="24"/>
                                    </w:rPr>
                                    <w:t>Wysokość całkowita</w:t>
                                  </w:r>
                                </w:p>
                              </w:tc>
                              <w:tc>
                                <w:tcPr>
                                  <w:tcW w:w="212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200"/>
                                    <w:ind w:hanging="0" w:left="0" w:right="0"/>
                                    <w:jc w:val="center"/>
                                    <w:rPr>
                                      <w:b/>
                                      <w:color w:val="000000"/>
                                      <w:szCs w:val="24"/>
                                    </w:rPr>
                                  </w:pPr>
                                  <w:r>
                                    <w:rPr>
                                      <w:b/>
                                      <w:color w:val="000000"/>
                                      <w:szCs w:val="24"/>
                                    </w:rPr>
                                    <w:t>11,63m</w:t>
                                  </w:r>
                                </w:p>
                              </w:tc>
                            </w:tr>
                          </w:tbl>
                          <w:p>
                            <w:pPr>
                              <w:pStyle w:val="Zawartoramkiuser"/>
                              <w:spacing w:before="0" w:after="200"/>
                              <w:ind w:hanging="0" w:left="0"/>
                              <w:rPr>
                                <w:color w:val="000000"/>
                              </w:rPr>
                            </w:pPr>
                            <w:r>
                              <w:rPr>
                                <w:color w:val="000000"/>
                              </w:rPr>
                            </w:r>
                          </w:p>
                        </w:txbxContent>
                      </wps:txbx>
                      <wps:bodyPr lIns="0" rIns="0" tIns="0" bIns="0" anchor="t">
                        <a:noAutofit/>
                      </wps:bodyPr>
                    </wps:wsp>
                  </a:graphicData>
                </a:graphic>
              </wp:anchor>
            </w:drawing>
          </mc:Choice>
          <mc:Fallback>
            <w:pict>
              <v:rect id="shape_0" stroked="f" o:allowincell="f" style="position:absolute;margin-left:31.65pt;margin-top:5.25pt;width:389.75pt;height:121.95pt;mso-wrap-style:none;v-text-anchor:middle;mso-position-horizontal:center;mso-position-horizontal-relative:margin">
                <v:fill o:detectmouseclick="t" on="false"/>
                <v:stroke color="#3465a4" joinstyle="round" endcap="flat"/>
                <v:textbox>
                  <w:txbxContent>
                    <w:tbl>
                      <w:tblPr>
                        <w:tblW w:w="7796" w:type="dxa"/>
                        <w:jc w:val="left"/>
                        <w:tblInd w:w="70" w:type="dxa"/>
                        <w:tblLayout w:type="fixed"/>
                        <w:tblCellMar>
                          <w:top w:w="0" w:type="dxa"/>
                          <w:left w:w="70" w:type="dxa"/>
                          <w:bottom w:w="0" w:type="dxa"/>
                          <w:right w:w="70" w:type="dxa"/>
                        </w:tblCellMar>
                      </w:tblPr>
                      <w:tblGrid>
                        <w:gridCol w:w="5670"/>
                        <w:gridCol w:w="2126"/>
                      </w:tblGrid>
                      <w:tr>
                        <w:trPr/>
                        <w:tc>
                          <w:tcPr>
                            <w:tcW w:w="567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200"/>
                              <w:ind w:hanging="0" w:left="0" w:right="0"/>
                              <w:rPr>
                                <w:b/>
                                <w:bCs/>
                                <w:szCs w:val="24"/>
                              </w:rPr>
                            </w:pPr>
                            <w:bookmarkStart w:id="13" w:name="__RefHeading___Toc411372031"/>
                            <w:bookmarkEnd w:id="13"/>
                            <w:r>
                              <w:rPr>
                                <w:b/>
                                <w:bCs/>
                                <w:szCs w:val="24"/>
                              </w:rPr>
                              <w:t>Powierzchnia zabudowy</w:t>
                            </w:r>
                          </w:p>
                        </w:tc>
                        <w:tc>
                          <w:tcPr>
                            <w:tcW w:w="212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200"/>
                              <w:ind w:hanging="0" w:left="0" w:right="0"/>
                              <w:jc w:val="center"/>
                              <w:rPr/>
                            </w:pPr>
                            <w:r>
                              <w:rPr>
                                <w:rFonts w:eastAsia="Arial" w:cs="Arial"/>
                                <w:b/>
                                <w:color w:val="000000"/>
                                <w:szCs w:val="24"/>
                              </w:rPr>
                              <w:t>1764,98 m</w:t>
                            </w:r>
                            <w:r>
                              <w:rPr>
                                <w:rFonts w:eastAsia="Arial" w:cs="Arial"/>
                                <w:b/>
                                <w:color w:val="000000"/>
                                <w:szCs w:val="24"/>
                                <w:vertAlign w:val="superscript"/>
                              </w:rPr>
                              <w:t>2</w:t>
                            </w:r>
                          </w:p>
                        </w:tc>
                      </w:tr>
                      <w:tr>
                        <w:trPr/>
                        <w:tc>
                          <w:tcPr>
                            <w:tcW w:w="567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200"/>
                              <w:ind w:hanging="0" w:left="0" w:right="0"/>
                              <w:rPr>
                                <w:b/>
                                <w:bCs/>
                                <w:color w:val="000000"/>
                                <w:szCs w:val="24"/>
                              </w:rPr>
                            </w:pPr>
                            <w:r>
                              <w:rPr>
                                <w:b/>
                                <w:bCs/>
                                <w:color w:val="000000"/>
                                <w:szCs w:val="24"/>
                              </w:rPr>
                              <w:t>Powierzchnia użytkowa</w:t>
                            </w:r>
                          </w:p>
                        </w:tc>
                        <w:tc>
                          <w:tcPr>
                            <w:tcW w:w="212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200"/>
                              <w:ind w:hanging="0" w:left="0" w:right="0"/>
                              <w:jc w:val="center"/>
                              <w:rPr/>
                            </w:pPr>
                            <w:r>
                              <w:rPr>
                                <w:b/>
                                <w:color w:val="000000"/>
                                <w:szCs w:val="24"/>
                              </w:rPr>
                              <w:t>3485,4 m</w:t>
                            </w:r>
                            <w:r>
                              <w:rPr>
                                <w:b/>
                                <w:color w:val="000000"/>
                                <w:szCs w:val="24"/>
                                <w:vertAlign w:val="superscript"/>
                              </w:rPr>
                              <w:t>2</w:t>
                            </w:r>
                          </w:p>
                        </w:tc>
                      </w:tr>
                      <w:tr>
                        <w:trPr/>
                        <w:tc>
                          <w:tcPr>
                            <w:tcW w:w="567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200"/>
                              <w:ind w:hanging="0" w:left="0" w:right="0"/>
                              <w:rPr>
                                <w:b/>
                                <w:color w:val="000000"/>
                                <w:szCs w:val="24"/>
                              </w:rPr>
                            </w:pPr>
                            <w:r>
                              <w:rPr>
                                <w:b/>
                                <w:color w:val="000000"/>
                                <w:szCs w:val="24"/>
                              </w:rPr>
                              <w:t>Liczba kondygnacji nadziemnych</w:t>
                            </w:r>
                          </w:p>
                        </w:tc>
                        <w:tc>
                          <w:tcPr>
                            <w:tcW w:w="212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200"/>
                              <w:ind w:hanging="0" w:left="0" w:right="0"/>
                              <w:jc w:val="center"/>
                              <w:rPr>
                                <w:b/>
                                <w:color w:val="000000"/>
                                <w:szCs w:val="24"/>
                              </w:rPr>
                            </w:pPr>
                            <w:r>
                              <w:rPr>
                                <w:b/>
                                <w:color w:val="000000"/>
                                <w:szCs w:val="24"/>
                              </w:rPr>
                              <w:t>3</w:t>
                            </w:r>
                          </w:p>
                        </w:tc>
                      </w:tr>
                      <w:tr>
                        <w:trPr/>
                        <w:tc>
                          <w:tcPr>
                            <w:tcW w:w="567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200"/>
                              <w:ind w:hanging="0" w:left="0" w:right="0"/>
                              <w:rPr>
                                <w:b/>
                                <w:bCs/>
                                <w:color w:val="000000"/>
                                <w:szCs w:val="24"/>
                              </w:rPr>
                            </w:pPr>
                            <w:r>
                              <w:rPr>
                                <w:b/>
                                <w:bCs/>
                                <w:color w:val="000000"/>
                                <w:szCs w:val="24"/>
                              </w:rPr>
                              <w:t>Liczba kondygnacji podziemnych</w:t>
                            </w:r>
                          </w:p>
                        </w:tc>
                        <w:tc>
                          <w:tcPr>
                            <w:tcW w:w="212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200"/>
                              <w:ind w:hanging="0" w:left="0" w:right="0"/>
                              <w:jc w:val="center"/>
                              <w:rPr>
                                <w:b/>
                                <w:color w:val="000000"/>
                                <w:szCs w:val="24"/>
                              </w:rPr>
                            </w:pPr>
                            <w:r>
                              <w:rPr>
                                <w:b/>
                                <w:color w:val="000000"/>
                                <w:szCs w:val="24"/>
                              </w:rPr>
                              <w:t>1</w:t>
                            </w:r>
                          </w:p>
                        </w:tc>
                      </w:tr>
                      <w:tr>
                        <w:trPr>
                          <w:trHeight w:val="692" w:hRule="atLeast"/>
                        </w:trPr>
                        <w:tc>
                          <w:tcPr>
                            <w:tcW w:w="567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200"/>
                              <w:ind w:hanging="0" w:left="0" w:right="0"/>
                              <w:rPr>
                                <w:b/>
                                <w:bCs/>
                                <w:color w:val="000000"/>
                                <w:szCs w:val="24"/>
                              </w:rPr>
                            </w:pPr>
                            <w:r>
                              <w:rPr>
                                <w:b/>
                                <w:bCs/>
                                <w:color w:val="000000"/>
                                <w:szCs w:val="24"/>
                              </w:rPr>
                              <w:t>Wysokość całkowita</w:t>
                            </w:r>
                          </w:p>
                        </w:tc>
                        <w:tc>
                          <w:tcPr>
                            <w:tcW w:w="212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200"/>
                              <w:ind w:hanging="0" w:left="0" w:right="0"/>
                              <w:jc w:val="center"/>
                              <w:rPr>
                                <w:b/>
                                <w:color w:val="000000"/>
                                <w:szCs w:val="24"/>
                              </w:rPr>
                            </w:pPr>
                            <w:r>
                              <w:rPr>
                                <w:b/>
                                <w:color w:val="000000"/>
                                <w:szCs w:val="24"/>
                              </w:rPr>
                              <w:t>11,63m</w:t>
                            </w:r>
                          </w:p>
                        </w:tc>
                      </w:tr>
                    </w:tbl>
                    <w:p>
                      <w:pPr>
                        <w:pStyle w:val="Zawartoramkiuser"/>
                        <w:spacing w:before="0" w:after="200"/>
                        <w:ind w:hanging="0" w:left="0"/>
                        <w:rPr>
                          <w:color w:val="000000"/>
                        </w:rPr>
                      </w:pPr>
                      <w:r>
                        <w:rPr>
                          <w:color w:val="000000"/>
                        </w:rPr>
                      </w:r>
                    </w:p>
                  </w:txbxContent>
                </v:textbox>
                <w10:wrap type="topAndBottom"/>
              </v:rect>
            </w:pict>
          </mc:Fallback>
        </mc:AlternateContent>
      </w:r>
      <w:r>
        <w:rPr>
          <w:color w:val="000000"/>
        </w:rPr>
        <w:t>Kategoria zagrożenia ludzi, przewidywana liczba osób w budynku</w:t>
      </w:r>
    </w:p>
    <w:p>
      <w:pPr>
        <w:pStyle w:val="Normal"/>
        <w:tabs>
          <w:tab w:val="clear" w:pos="708"/>
          <w:tab w:val="left" w:pos="540" w:leader="none"/>
        </w:tabs>
        <w:spacing w:before="0" w:after="0"/>
        <w:ind w:hanging="0" w:left="0"/>
        <w:rPr>
          <w:rFonts w:ascii="Times New Roman" w:hAnsi="Times New Roman"/>
        </w:rPr>
      </w:pPr>
      <w:r>
        <w:rPr>
          <w:szCs w:val="24"/>
        </w:rPr>
        <w:t xml:space="preserve">Budynek </w:t>
      </w:r>
      <w:r>
        <w:rPr>
          <w:szCs w:val="24"/>
        </w:rPr>
        <w:t>zespołu szkolno-przedszkolnego</w:t>
      </w:r>
      <w:r>
        <w:rPr>
          <w:szCs w:val="24"/>
        </w:rPr>
        <w:t xml:space="preserve"> zakwalifikowano w całości do kategorii </w:t>
      </w:r>
      <w:r>
        <w:rPr>
          <w:b/>
          <w:bCs/>
          <w:szCs w:val="24"/>
        </w:rPr>
        <w:t>ZL II</w:t>
      </w:r>
      <w:r>
        <w:rPr>
          <w:szCs w:val="24"/>
        </w:rPr>
        <w:t xml:space="preserve"> parter (sale przedszkolne) pozostała część budynku </w:t>
      </w:r>
      <w:r>
        <w:rPr>
          <w:b/>
          <w:szCs w:val="24"/>
        </w:rPr>
        <w:t>ZL III</w:t>
      </w:r>
      <w:r>
        <w:rPr>
          <w:szCs w:val="24"/>
        </w:rPr>
        <w:t xml:space="preserve"> zagrożenia ludzi, bowiem nie zawiera pomieszczeń przeznaczonych do jednoczesnego przebywania ponad 50</w:t>
      </w:r>
      <w:r>
        <w:rPr/>
        <w:t> </w:t>
      </w:r>
      <w:r>
        <w:rPr>
          <w:szCs w:val="24"/>
        </w:rPr>
        <w:t>osób niebędących ich stałymi użytkownikami, a nieprzeznaczonych przede wszystkim do użytku ludzi o ograniczonej zdolności poruszania się. Należy nadmienić, że w s</w:t>
      </w:r>
      <w:r>
        <w:rPr/>
        <w:t xml:space="preserve">ali sportowej może przebywać do 60 osób, jednakże jest ona przeznaczona wyłącznie dla uczniów </w:t>
      </w:r>
      <w:r>
        <w:rPr/>
        <w:t>zespołu szkolno-przedszkolnego</w:t>
      </w:r>
      <w:r>
        <w:rPr/>
        <w:t>.</w:t>
      </w:r>
    </w:p>
    <w:p>
      <w:pPr>
        <w:pStyle w:val="Heading2"/>
        <w:keepNext w:val="true"/>
        <w:keepLines/>
        <w:widowControl w:val="false"/>
        <w:tabs>
          <w:tab w:val="clear" w:pos="708"/>
          <w:tab w:val="left" w:pos="738" w:leader="none"/>
        </w:tabs>
        <w:suppressAutoHyphens w:val="true"/>
        <w:overflowPunct w:val="false"/>
        <w:bidi w:val="0"/>
        <w:spacing w:lineRule="auto" w:line="276" w:before="200" w:after="0"/>
        <w:ind w:hanging="340" w:left="340" w:right="2891"/>
        <w:jc w:val="left"/>
        <w:rPr/>
      </w:pPr>
      <w:bookmarkStart w:id="15" w:name="__RefHeading___Toc411372032"/>
      <w:bookmarkEnd w:id="15"/>
      <w:r>
        <w:rPr>
          <w:color w:val="000000"/>
        </w:rPr>
        <w:t>Podział obiektu na strefy pożarowe</w:t>
      </w:r>
    </w:p>
    <w:p>
      <w:pPr>
        <w:pStyle w:val="Normal"/>
        <w:ind w:firstLine="708" w:left="0" w:right="0"/>
        <w:rPr>
          <w:rFonts w:ascii="Times New Roman" w:hAnsi="Times New Roman"/>
          <w:szCs w:val="24"/>
        </w:rPr>
      </w:pPr>
      <w:r>
        <w:rPr>
          <w:szCs w:val="24"/>
        </w:rPr>
        <w:t>W celu niedopuszczenia do powstania bardzo dużych pożarów ograniczono wielkość powierzchni obiektów. Podstawa do ograniczenia wielkości powierzchni obiektu jest zaliczenie do odpowiedniej kategorii zagrożenia ludzi, występującego obciążenia ogniowego oraz wysokości obiektów.</w:t>
      </w:r>
    </w:p>
    <w:p>
      <w:pPr>
        <w:pStyle w:val="Normal"/>
        <w:ind w:hanging="0" w:left="0"/>
        <w:rPr>
          <w:rFonts w:ascii="Times New Roman" w:hAnsi="Times New Roman"/>
        </w:rPr>
      </w:pPr>
      <w:r>
        <w:rPr>
          <w:szCs w:val="24"/>
        </w:rPr>
        <w:t>Dopuszczalna powierzchnia stref pożarowych w obiektach ZL (zagrożenia lud</w:t>
      </w:r>
      <w:r>
        <w:rPr/>
        <w:t>zi).</w:t>
      </w:r>
    </w:p>
    <w:tbl>
      <w:tblPr>
        <w:tblW w:w="5000" w:type="pct"/>
        <w:jc w:val="right"/>
        <w:tblInd w:w="0" w:type="dxa"/>
        <w:tblLayout w:type="fixed"/>
        <w:tblCellMar>
          <w:top w:w="15" w:type="dxa"/>
          <w:left w:w="30" w:type="dxa"/>
          <w:bottom w:w="15" w:type="dxa"/>
          <w:right w:w="30" w:type="dxa"/>
        </w:tblCellMar>
      </w:tblPr>
      <w:tblGrid>
        <w:gridCol w:w="1814"/>
        <w:gridCol w:w="2204"/>
        <w:gridCol w:w="924"/>
        <w:gridCol w:w="1829"/>
        <w:gridCol w:w="2291"/>
      </w:tblGrid>
      <w:tr>
        <w:trPr/>
        <w:tc>
          <w:tcPr>
            <w:tcW w:w="1814" w:type="dxa"/>
            <w:vMerge w:val="restart"/>
            <w:tcBorders>
              <w:top w:val="thickThinSmallGap" w:sz="12" w:space="0" w:color="C0C0C0"/>
              <w:left w:val="thickThinSmallGap" w:sz="12" w:space="0" w:color="C0C0C0"/>
              <w:bottom w:val="thickThinSmallGap" w:sz="12" w:space="0" w:color="C0C0C0"/>
              <w:right w:val="thickThinSmallGap" w:sz="12" w:space="0" w:color="C0C0C0"/>
            </w:tcBorders>
            <w:vAlign w:val="center"/>
          </w:tcPr>
          <w:p>
            <w:pPr>
              <w:pStyle w:val="Normal"/>
              <w:widowControl w:val="false"/>
              <w:spacing w:before="0" w:after="200"/>
              <w:ind w:hanging="0" w:left="0" w:right="0"/>
              <w:jc w:val="center"/>
              <w:rPr>
                <w:rFonts w:ascii="Times New Roman" w:hAnsi="Times New Roman"/>
              </w:rPr>
            </w:pPr>
            <w:r>
              <w:rPr/>
              <w:t>Kategoria zagrożenia</w:t>
              <w:br/>
              <w:t>ludzi</w:t>
            </w:r>
          </w:p>
        </w:tc>
        <w:tc>
          <w:tcPr>
            <w:tcW w:w="2204" w:type="dxa"/>
            <w:vMerge w:val="restart"/>
            <w:tcBorders>
              <w:top w:val="thickThinSmallGap" w:sz="12" w:space="0" w:color="C0C0C0"/>
              <w:left w:val="thickThinSmallGap" w:sz="12" w:space="0" w:color="C0C0C0"/>
              <w:bottom w:val="thickThinSmallGap" w:sz="12" w:space="0" w:color="C0C0C0"/>
              <w:right w:val="thickThinSmallGap" w:sz="12" w:space="0" w:color="C0C0C0"/>
            </w:tcBorders>
            <w:vAlign w:val="center"/>
          </w:tcPr>
          <w:p>
            <w:pPr>
              <w:pStyle w:val="Normal"/>
              <w:widowControl w:val="false"/>
              <w:spacing w:before="0" w:after="200"/>
              <w:ind w:hanging="0" w:left="0" w:right="0"/>
              <w:jc w:val="center"/>
              <w:rPr>
                <w:rFonts w:ascii="Times New Roman" w:hAnsi="Times New Roman"/>
              </w:rPr>
            </w:pPr>
            <w:r>
              <w:rPr/>
              <w:t>w budynku o jednej kondygnacji</w:t>
              <w:br/>
              <w:t>nadziemnej (bez</w:t>
              <w:br/>
              <w:t>ograniczenia wysokości)</w:t>
            </w:r>
          </w:p>
        </w:tc>
        <w:tc>
          <w:tcPr>
            <w:tcW w:w="5044" w:type="dxa"/>
            <w:gridSpan w:val="3"/>
            <w:tcBorders>
              <w:top w:val="thickThinSmallGap" w:sz="12" w:space="0" w:color="C0C0C0"/>
              <w:left w:val="thickThinSmallGap" w:sz="12" w:space="0" w:color="C0C0C0"/>
              <w:bottom w:val="thickThinSmallGap" w:sz="12" w:space="0" w:color="C0C0C0"/>
              <w:right w:val="thickThinSmallGap" w:sz="12" w:space="0" w:color="C0C0C0"/>
            </w:tcBorders>
            <w:vAlign w:val="center"/>
          </w:tcPr>
          <w:p>
            <w:pPr>
              <w:pStyle w:val="Normal"/>
              <w:widowControl w:val="false"/>
              <w:spacing w:before="0" w:after="200"/>
              <w:ind w:hanging="0" w:left="0" w:right="0"/>
              <w:jc w:val="center"/>
              <w:rPr>
                <w:rFonts w:ascii="Times New Roman" w:hAnsi="Times New Roman"/>
              </w:rPr>
            </w:pPr>
            <w:r>
              <w:rPr/>
              <w:t>Dopuszczalna powierzchnia strefy pożarowej w m</w:t>
            </w:r>
            <w:r>
              <w:rPr>
                <w:vertAlign w:val="superscript"/>
              </w:rPr>
              <w:t>2</w:t>
            </w:r>
          </w:p>
        </w:tc>
      </w:tr>
      <w:tr>
        <w:trPr>
          <w:trHeight w:val="1152" w:hRule="atLeast"/>
        </w:trPr>
        <w:tc>
          <w:tcPr>
            <w:tcW w:w="1814" w:type="dxa"/>
            <w:vMerge w:val="continue"/>
            <w:tcBorders>
              <w:top w:val="thickThinSmallGap" w:sz="12" w:space="0" w:color="C0C0C0"/>
              <w:left w:val="thickThinSmallGap" w:sz="12" w:space="0" w:color="C0C0C0"/>
              <w:bottom w:val="thickThinSmallGap" w:sz="12" w:space="0" w:color="C0C0C0"/>
              <w:right w:val="thickThinSmallGap" w:sz="12" w:space="0" w:color="C0C0C0"/>
            </w:tcBorders>
            <w:vAlign w:val="center"/>
          </w:tcPr>
          <w:p>
            <w:pPr>
              <w:pStyle w:val="Normal"/>
              <w:widowControl w:val="false"/>
              <w:numPr>
                <w:ilvl w:val="0"/>
                <w:numId w:val="0"/>
              </w:numPr>
              <w:suppressAutoHyphens w:val="true"/>
              <w:bidi w:val="0"/>
              <w:spacing w:lineRule="auto" w:line="276" w:before="0" w:after="200"/>
              <w:ind w:hanging="0" w:left="0"/>
              <w:rPr/>
            </w:pPr>
            <w:r>
              <w:rPr/>
            </w:r>
          </w:p>
        </w:tc>
        <w:tc>
          <w:tcPr>
            <w:tcW w:w="2204" w:type="dxa"/>
            <w:vMerge w:val="continue"/>
            <w:tcBorders>
              <w:top w:val="thickThinSmallGap" w:sz="12" w:space="0" w:color="C0C0C0"/>
              <w:left w:val="thickThinSmallGap" w:sz="12" w:space="0" w:color="C0C0C0"/>
              <w:bottom w:val="thickThinSmallGap" w:sz="12" w:space="0" w:color="C0C0C0"/>
              <w:right w:val="thickThinSmallGap" w:sz="12" w:space="0" w:color="C0C0C0"/>
            </w:tcBorders>
            <w:vAlign w:val="center"/>
          </w:tcPr>
          <w:p>
            <w:pPr>
              <w:pStyle w:val="Normal"/>
              <w:widowControl w:val="false"/>
              <w:numPr>
                <w:ilvl w:val="0"/>
                <w:numId w:val="0"/>
              </w:numPr>
              <w:suppressAutoHyphens w:val="true"/>
              <w:bidi w:val="0"/>
              <w:spacing w:lineRule="auto" w:line="276" w:before="0" w:after="200"/>
              <w:ind w:hanging="0" w:left="0"/>
              <w:rPr/>
            </w:pPr>
            <w:r>
              <w:rPr/>
            </w:r>
          </w:p>
        </w:tc>
        <w:tc>
          <w:tcPr>
            <w:tcW w:w="924"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pPr>
              <w:pStyle w:val="Normal"/>
              <w:widowControl w:val="false"/>
              <w:spacing w:before="0" w:after="200"/>
              <w:ind w:hanging="0" w:left="0" w:right="0"/>
              <w:jc w:val="center"/>
              <w:rPr>
                <w:rFonts w:ascii="Times New Roman" w:hAnsi="Times New Roman"/>
                <w:b/>
              </w:rPr>
            </w:pPr>
            <w:r>
              <w:rPr>
                <w:b/>
              </w:rPr>
              <w:t>Niskim (N)</w:t>
            </w:r>
          </w:p>
        </w:tc>
        <w:tc>
          <w:tcPr>
            <w:tcW w:w="1829"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pPr>
              <w:pStyle w:val="Normal"/>
              <w:widowControl w:val="false"/>
              <w:spacing w:before="0" w:after="200"/>
              <w:ind w:hanging="0" w:left="0" w:right="0"/>
              <w:jc w:val="center"/>
              <w:rPr>
                <w:rFonts w:ascii="Times New Roman" w:hAnsi="Times New Roman"/>
              </w:rPr>
            </w:pPr>
            <w:r>
              <w:rPr/>
              <w:t>Średniowysokim</w:t>
              <w:br/>
              <w:t>(SW)</w:t>
            </w:r>
          </w:p>
        </w:tc>
        <w:tc>
          <w:tcPr>
            <w:tcW w:w="2291"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pPr>
              <w:pStyle w:val="Normal"/>
              <w:widowControl w:val="false"/>
              <w:spacing w:before="0" w:after="200"/>
              <w:ind w:hanging="0" w:left="0" w:right="0"/>
              <w:jc w:val="center"/>
              <w:rPr>
                <w:rFonts w:ascii="Times New Roman" w:hAnsi="Times New Roman"/>
              </w:rPr>
            </w:pPr>
            <w:r>
              <w:rPr/>
              <w:t>Wysokim i Wysokościowym</w:t>
              <w:br/>
              <w:t>(W) i (WW)</w:t>
            </w:r>
          </w:p>
        </w:tc>
      </w:tr>
      <w:tr>
        <w:trPr/>
        <w:tc>
          <w:tcPr>
            <w:tcW w:w="1814"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pPr>
              <w:pStyle w:val="Normal"/>
              <w:widowControl w:val="false"/>
              <w:spacing w:before="0" w:after="200"/>
              <w:ind w:hanging="0" w:left="0" w:right="0"/>
              <w:jc w:val="center"/>
              <w:rPr>
                <w:rFonts w:ascii="Times New Roman" w:hAnsi="Times New Roman"/>
                <w:sz w:val="20"/>
                <w:szCs w:val="20"/>
              </w:rPr>
            </w:pPr>
            <w:r>
              <w:rPr>
                <w:sz w:val="20"/>
                <w:szCs w:val="20"/>
              </w:rPr>
              <w:t>1</w:t>
            </w:r>
          </w:p>
        </w:tc>
        <w:tc>
          <w:tcPr>
            <w:tcW w:w="2204"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pPr>
              <w:pStyle w:val="Normal"/>
              <w:widowControl w:val="false"/>
              <w:spacing w:before="0" w:after="200"/>
              <w:ind w:hanging="0" w:left="0" w:right="0"/>
              <w:jc w:val="center"/>
              <w:rPr>
                <w:rFonts w:ascii="Times New Roman" w:hAnsi="Times New Roman"/>
                <w:sz w:val="20"/>
                <w:szCs w:val="20"/>
              </w:rPr>
            </w:pPr>
            <w:r>
              <w:rPr>
                <w:sz w:val="20"/>
                <w:szCs w:val="20"/>
              </w:rPr>
              <w:t>2</w:t>
            </w:r>
          </w:p>
        </w:tc>
        <w:tc>
          <w:tcPr>
            <w:tcW w:w="924"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pPr>
              <w:pStyle w:val="Normal"/>
              <w:widowControl w:val="false"/>
              <w:spacing w:before="0" w:after="200"/>
              <w:ind w:hanging="0" w:left="0" w:right="0"/>
              <w:jc w:val="center"/>
              <w:rPr>
                <w:rFonts w:ascii="Times New Roman" w:hAnsi="Times New Roman"/>
                <w:sz w:val="20"/>
                <w:szCs w:val="20"/>
              </w:rPr>
            </w:pPr>
            <w:r>
              <w:rPr>
                <w:sz w:val="20"/>
                <w:szCs w:val="20"/>
              </w:rPr>
              <w:t>3</w:t>
            </w:r>
          </w:p>
        </w:tc>
        <w:tc>
          <w:tcPr>
            <w:tcW w:w="1829"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pPr>
              <w:pStyle w:val="Normal"/>
              <w:widowControl w:val="false"/>
              <w:spacing w:before="0" w:after="200"/>
              <w:ind w:hanging="0" w:left="0" w:right="0"/>
              <w:jc w:val="center"/>
              <w:rPr>
                <w:rFonts w:ascii="Times New Roman" w:hAnsi="Times New Roman"/>
                <w:sz w:val="20"/>
                <w:szCs w:val="20"/>
              </w:rPr>
            </w:pPr>
            <w:r>
              <w:rPr>
                <w:sz w:val="20"/>
                <w:szCs w:val="20"/>
              </w:rPr>
              <w:t>4</w:t>
            </w:r>
          </w:p>
        </w:tc>
        <w:tc>
          <w:tcPr>
            <w:tcW w:w="2291"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pPr>
              <w:pStyle w:val="Normal"/>
              <w:widowControl w:val="false"/>
              <w:spacing w:before="0" w:after="200"/>
              <w:ind w:hanging="0" w:left="0" w:right="0"/>
              <w:jc w:val="center"/>
              <w:rPr>
                <w:rFonts w:ascii="Times New Roman" w:hAnsi="Times New Roman"/>
                <w:sz w:val="20"/>
                <w:szCs w:val="20"/>
              </w:rPr>
            </w:pPr>
            <w:r>
              <w:rPr>
                <w:sz w:val="20"/>
                <w:szCs w:val="20"/>
              </w:rPr>
              <w:t>5</w:t>
            </w:r>
          </w:p>
        </w:tc>
      </w:tr>
      <w:tr>
        <w:trPr/>
        <w:tc>
          <w:tcPr>
            <w:tcW w:w="1814"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pPr>
              <w:pStyle w:val="Normal"/>
              <w:widowControl w:val="false"/>
              <w:spacing w:before="0" w:after="200"/>
              <w:ind w:hanging="0" w:left="0" w:right="0"/>
              <w:jc w:val="center"/>
              <w:rPr>
                <w:rFonts w:ascii="Times New Roman" w:hAnsi="Times New Roman"/>
              </w:rPr>
            </w:pPr>
            <w:r>
              <w:rPr>
                <w:b/>
                <w:bCs/>
                <w:sz w:val="22"/>
              </w:rPr>
              <w:t>ZL II,</w:t>
            </w:r>
            <w:r>
              <w:rPr>
                <w:b/>
                <w:sz w:val="22"/>
              </w:rPr>
              <w:t xml:space="preserve"> ZL III,</w:t>
            </w:r>
            <w:r>
              <w:rPr>
                <w:sz w:val="22"/>
              </w:rPr>
              <w:t xml:space="preserve"> ZL IV, ZL V</w:t>
            </w:r>
          </w:p>
        </w:tc>
        <w:tc>
          <w:tcPr>
            <w:tcW w:w="2204"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pPr>
              <w:pStyle w:val="Normal"/>
              <w:widowControl w:val="false"/>
              <w:spacing w:before="0" w:after="200"/>
              <w:ind w:hanging="0" w:left="0" w:right="0"/>
              <w:jc w:val="center"/>
              <w:rPr>
                <w:rFonts w:ascii="Times New Roman" w:hAnsi="Times New Roman"/>
                <w:sz w:val="22"/>
              </w:rPr>
            </w:pPr>
            <w:r>
              <w:rPr>
                <w:sz w:val="22"/>
              </w:rPr>
              <w:t>10.000</w:t>
            </w:r>
          </w:p>
        </w:tc>
        <w:tc>
          <w:tcPr>
            <w:tcW w:w="924"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pPr>
              <w:pStyle w:val="Normal"/>
              <w:widowControl w:val="false"/>
              <w:spacing w:before="0" w:after="200"/>
              <w:ind w:hanging="0" w:left="0" w:right="0"/>
              <w:jc w:val="center"/>
              <w:rPr>
                <w:rFonts w:ascii="Times New Roman" w:hAnsi="Times New Roman"/>
                <w:b/>
                <w:sz w:val="22"/>
              </w:rPr>
            </w:pPr>
            <w:r>
              <w:rPr>
                <w:b/>
                <w:sz w:val="22"/>
              </w:rPr>
              <w:t>8.000</w:t>
            </w:r>
          </w:p>
        </w:tc>
        <w:tc>
          <w:tcPr>
            <w:tcW w:w="1829"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pPr>
              <w:pStyle w:val="Normal"/>
              <w:widowControl w:val="false"/>
              <w:spacing w:before="0" w:after="200"/>
              <w:ind w:hanging="0" w:left="0" w:right="0"/>
              <w:jc w:val="center"/>
              <w:rPr>
                <w:rFonts w:ascii="Times New Roman" w:hAnsi="Times New Roman"/>
                <w:sz w:val="22"/>
              </w:rPr>
            </w:pPr>
            <w:r>
              <w:rPr>
                <w:sz w:val="22"/>
              </w:rPr>
              <w:t>5.000</w:t>
            </w:r>
          </w:p>
        </w:tc>
        <w:tc>
          <w:tcPr>
            <w:tcW w:w="2291" w:type="dxa"/>
            <w:tcBorders>
              <w:top w:val="thickThinSmallGap" w:sz="12" w:space="0" w:color="C0C0C0"/>
              <w:left w:val="thickThinSmallGap" w:sz="12" w:space="0" w:color="C0C0C0"/>
              <w:bottom w:val="thickThinSmallGap" w:sz="12" w:space="0" w:color="C0C0C0"/>
              <w:right w:val="thickThinSmallGap" w:sz="12" w:space="0" w:color="C0C0C0"/>
            </w:tcBorders>
            <w:vAlign w:val="center"/>
          </w:tcPr>
          <w:p>
            <w:pPr>
              <w:pStyle w:val="Normal"/>
              <w:widowControl w:val="false"/>
              <w:spacing w:before="0" w:after="200"/>
              <w:ind w:hanging="0" w:left="0" w:right="0"/>
              <w:jc w:val="center"/>
              <w:rPr>
                <w:rFonts w:ascii="Times New Roman" w:hAnsi="Times New Roman"/>
                <w:sz w:val="22"/>
              </w:rPr>
            </w:pPr>
            <w:r>
              <w:rPr>
                <w:sz w:val="22"/>
              </w:rPr>
              <w:t>2.500</w:t>
            </w:r>
          </w:p>
        </w:tc>
      </w:tr>
    </w:tbl>
    <w:p>
      <w:pPr>
        <w:pStyle w:val="Normal"/>
        <w:ind w:firstLine="708" w:left="0" w:right="0"/>
        <w:rPr>
          <w:rFonts w:ascii="Times New Roman" w:hAnsi="Times New Roman"/>
          <w:szCs w:val="24"/>
        </w:rPr>
      </w:pPr>
      <w:r>
        <w:rPr>
          <w:szCs w:val="24"/>
        </w:rPr>
        <w:t xml:space="preserve">W przypadku przekroczenia dopuszczalnych powierzchni stref pożarowych </w:t>
        <w:br/>
        <w:t>w obiekcie stosuje się ściany oddzielenia pożarowego, które powinny ograniczać rozwój pożaru. Również w przypadku zastosowania w obiekcie różnych stref np. produkcyjnych oraz zaliczonych do zagrożenia ludzi – strefy te oddziela się również ścianami i stropami o odpowiednich wymogach w zakresie odporności ogniowej.</w:t>
      </w:r>
    </w:p>
    <w:p>
      <w:pPr>
        <w:pStyle w:val="Normal"/>
        <w:ind w:firstLine="708" w:left="0" w:right="0"/>
        <w:rPr>
          <w:rFonts w:ascii="Times New Roman" w:hAnsi="Times New Roman"/>
        </w:rPr>
      </w:pPr>
      <w:r>
        <w:rPr>
          <w:szCs w:val="24"/>
        </w:rPr>
        <w:t xml:space="preserve">Strefę pożarową stanowi budynek albo jego część oddzielona od innych budynków lub innych części budynku elementami oddzielenia przeciwpożarowego, bądź też pasami wolnego terenu o szerokości nie mniejszej niż dopuszczalne odległości od innych budynków. Częścią budynku, stanowiącą strefę pożarową, jest także jego kondygnacja, jeżeli klatki schodowe w tym budynku spełniają, co najmniej wymagania określone dla klatek stanowiących wyjście do odrębnej strefy pożarowej. Ściany i stropy stanowiące elementy oddzielenia przeciwpożarowego powinny być wykonane z materiałów niepalnych, a występujące w nich otwory obudowane przedsionkami przeciwpożarowymi lub zamykane za pomocą drzwi przeciwpożarowych bądź innego zamknięcia przeciwpożarowego. Elementy te i zamknięcia otworów powinny posiadać następującą klasę odporności ogniowej: </w:t>
      </w:r>
    </w:p>
    <w:p>
      <w:pPr>
        <w:pStyle w:val="Normal"/>
        <w:numPr>
          <w:ilvl w:val="0"/>
          <w:numId w:val="8"/>
        </w:numPr>
        <w:rPr>
          <w:rFonts w:ascii="Times New Roman" w:hAnsi="Times New Roman"/>
          <w:szCs w:val="24"/>
        </w:rPr>
      </w:pPr>
      <w:r>
        <w:rPr>
          <w:szCs w:val="24"/>
        </w:rPr>
        <w:t>ściany oddzielenia przeciwpożarowego – REI 120,</w:t>
      </w:r>
    </w:p>
    <w:p>
      <w:pPr>
        <w:pStyle w:val="Normal"/>
        <w:numPr>
          <w:ilvl w:val="0"/>
          <w:numId w:val="8"/>
        </w:numPr>
        <w:rPr>
          <w:rFonts w:ascii="Times New Roman" w:hAnsi="Times New Roman"/>
          <w:szCs w:val="24"/>
        </w:rPr>
      </w:pPr>
      <w:r>
        <w:rPr>
          <w:szCs w:val="24"/>
        </w:rPr>
        <w:t>drzwi przeciwpożarowych lub innych zamknięć przeciwpożarowych – EI 60</w:t>
      </w:r>
    </w:p>
    <w:p>
      <w:pPr>
        <w:pStyle w:val="Normal"/>
        <w:tabs>
          <w:tab w:val="clear" w:pos="708"/>
          <w:tab w:val="left" w:pos="540" w:leader="none"/>
        </w:tabs>
        <w:ind w:firstLine="567" w:left="-142" w:right="0"/>
        <w:rPr>
          <w:rFonts w:ascii="Times New Roman" w:hAnsi="Times New Roman"/>
        </w:rPr>
      </w:pPr>
      <w:r>
        <w:rPr/>
        <w:t xml:space="preserve">Ścianę oddzielenia przeciwpożarowego należy wznosić na własnym fundamencie lub na stropie, opartym na konstrukcji nośnej o klasie odporności ogniowej nie niższej od odporności ogniowej tej ściany. </w:t>
      </w:r>
    </w:p>
    <w:p>
      <w:pPr>
        <w:pStyle w:val="Normal"/>
        <w:tabs>
          <w:tab w:val="clear" w:pos="708"/>
          <w:tab w:val="left" w:pos="540" w:leader="none"/>
        </w:tabs>
        <w:ind w:firstLine="567" w:left="-142" w:right="0"/>
        <w:rPr>
          <w:rFonts w:ascii="Times New Roman" w:hAnsi="Times New Roman"/>
        </w:rPr>
      </w:pPr>
      <w:r>
        <w:rPr/>
        <w:t xml:space="preserve">Zespół szkolno-przedszkolny </w:t>
      </w:r>
      <w:r>
        <w:rPr>
          <w:szCs w:val="24"/>
        </w:rPr>
        <w:t xml:space="preserve">w Zalasowej to budynek wielokondygnacyjny, niski ze względu na brak </w:t>
      </w:r>
      <w:r>
        <w:rPr>
          <w:lang w:eastAsia="pl-PL"/>
        </w:rPr>
        <w:t xml:space="preserve">wydzieleń elementami oddzieleń przeciwpożarowych stanowi dwie  strefy pożarowe (1 strefa parter, druga 2 kondygnacje nadziemne) łączna powierzchnia </w:t>
      </w:r>
      <w:r>
        <w:rPr>
          <w:color w:val="000000"/>
          <w:szCs w:val="24"/>
        </w:rPr>
        <w:t>3485,4 m</w:t>
      </w:r>
      <w:r>
        <w:rPr>
          <w:color w:val="000000"/>
          <w:szCs w:val="24"/>
          <w:vertAlign w:val="superscript"/>
        </w:rPr>
        <w:t>2</w:t>
      </w:r>
      <w:r>
        <w:rPr>
          <w:lang w:eastAsia="pl-PL"/>
        </w:rPr>
        <w:t>.</w:t>
      </w:r>
      <w:r>
        <w:rPr>
          <w:szCs w:val="24"/>
        </w:rPr>
        <w:t xml:space="preserve"> </w:t>
      </w:r>
    </w:p>
    <w:p>
      <w:pPr>
        <w:pStyle w:val="Normal"/>
        <w:tabs>
          <w:tab w:val="clear" w:pos="708"/>
          <w:tab w:val="left" w:pos="540" w:leader="none"/>
        </w:tabs>
        <w:ind w:firstLine="567" w:left="-142" w:right="0"/>
        <w:rPr>
          <w:rFonts w:ascii="Times New Roman" w:hAnsi="Times New Roman"/>
        </w:rPr>
      </w:pPr>
      <w:r>
        <w:rPr/>
        <w:t xml:space="preserve">W związku z powyższym </w:t>
      </w:r>
      <w:r>
        <w:rPr>
          <w:b/>
          <w:szCs w:val="24"/>
        </w:rPr>
        <w:t>strefy pożarowe w obiekcie nie zostały przekroczone od dopuszczalnej wielkości.</w:t>
      </w:r>
      <w:r>
        <w:rPr>
          <w:szCs w:val="24"/>
        </w:rPr>
        <w:t xml:space="preserve"> Dopuszczalna powierzchnia strefy pożarowej (</w:t>
      </w:r>
      <w:r>
        <w:rPr>
          <w:iCs/>
          <w:szCs w:val="24"/>
        </w:rPr>
        <w:t>w m</w:t>
      </w:r>
      <w:r>
        <w:rPr>
          <w:iCs/>
          <w:szCs w:val="24"/>
          <w:vertAlign w:val="superscript"/>
        </w:rPr>
        <w:t>2</w:t>
      </w:r>
      <w:r>
        <w:rPr>
          <w:szCs w:val="24"/>
        </w:rPr>
        <w:t>) w budynku wielokondygnacyjnym, niskim (</w:t>
      </w:r>
      <w:r>
        <w:rPr>
          <w:b/>
          <w:szCs w:val="24"/>
        </w:rPr>
        <w:t>N</w:t>
      </w:r>
      <w:r>
        <w:rPr>
          <w:szCs w:val="24"/>
        </w:rPr>
        <w:t xml:space="preserve">) zawierającym strefę pożarową zakwalifikowaną do kategorii zagrożenia ludzi do </w:t>
      </w:r>
      <w:r>
        <w:rPr>
          <w:b/>
          <w:szCs w:val="24"/>
        </w:rPr>
        <w:t>ZL III i ZL II</w:t>
      </w:r>
      <w:r>
        <w:rPr>
          <w:szCs w:val="24"/>
        </w:rPr>
        <w:t xml:space="preserve"> zgodnie z tabelą przepisu </w:t>
      </w:r>
      <w:r>
        <w:rPr>
          <w:i/>
          <w:szCs w:val="24"/>
        </w:rPr>
        <w:t>§ 227 ust. 1</w:t>
      </w:r>
      <w:r>
        <w:rPr>
          <w:szCs w:val="24"/>
        </w:rPr>
        <w:t xml:space="preserve"> rozporządzenia </w:t>
      </w:r>
      <w:r>
        <w:rPr/>
        <w:t>–</w:t>
      </w:r>
      <w:r>
        <w:rPr>
          <w:szCs w:val="24"/>
        </w:rPr>
        <w:t xml:space="preserve"> w</w:t>
      </w:r>
      <w:r>
        <w:rPr/>
        <w:t> </w:t>
      </w:r>
      <w:r>
        <w:rPr>
          <w:szCs w:val="24"/>
        </w:rPr>
        <w:t>sprawie warunków technicznych, jakim powinny odpowiadać budynki i ich usytuowanie wynosi 8 000 m</w:t>
      </w:r>
      <w:r>
        <w:rPr>
          <w:szCs w:val="24"/>
          <w:vertAlign w:val="superscript"/>
        </w:rPr>
        <w:t>2</w:t>
      </w:r>
      <w:r>
        <w:rPr>
          <w:szCs w:val="24"/>
        </w:rPr>
        <w:t>.</w:t>
      </w:r>
    </w:p>
    <w:p>
      <w:pPr>
        <w:pStyle w:val="Heading2"/>
        <w:ind w:hanging="426" w:left="426" w:right="0"/>
        <w:rPr>
          <w:rFonts w:ascii="Times New Roman" w:hAnsi="Times New Roman"/>
        </w:rPr>
      </w:pPr>
      <w:bookmarkStart w:id="16" w:name="__RefHeading___Toc411372033"/>
      <w:bookmarkEnd w:id="16"/>
      <w:r>
        <w:rPr/>
        <w:t>Klasa odporności pożarowej budynku oraz klasa odporności ogniowej i stopień rozprzestrzeniania ognia przez elementy budowlane</w:t>
      </w:r>
    </w:p>
    <w:p>
      <w:pPr>
        <w:pStyle w:val="Normal"/>
        <w:tabs>
          <w:tab w:val="clear" w:pos="708"/>
          <w:tab w:val="left" w:pos="540" w:leader="none"/>
        </w:tabs>
        <w:ind w:firstLine="567" w:left="-142" w:right="0"/>
        <w:rPr>
          <w:rFonts w:ascii="Times New Roman" w:hAnsi="Times New Roman"/>
        </w:rPr>
      </w:pPr>
      <w:r>
        <w:rPr>
          <w:szCs w:val="24"/>
        </w:rPr>
        <w:t xml:space="preserve">Na podstawie </w:t>
      </w:r>
      <w:r>
        <w:rPr>
          <w:i/>
          <w:szCs w:val="24"/>
        </w:rPr>
        <w:t>§ 212 ust. 2</w:t>
      </w:r>
      <w:r>
        <w:rPr>
          <w:szCs w:val="24"/>
        </w:rPr>
        <w:t xml:space="preserve"> rozporządzenia – w sprawie warunków technicznych, jakim powinny odpowiadać budynki i ich usytuowanie przyjęto, że budynek </w:t>
      </w:r>
      <w:r>
        <w:rPr>
          <w:szCs w:val="24"/>
        </w:rPr>
        <w:t>zespołu szkolno-przedszkolnego</w:t>
      </w:r>
      <w:r>
        <w:rPr>
          <w:szCs w:val="24"/>
        </w:rPr>
        <w:t>, niski (</w:t>
      </w:r>
      <w:r>
        <w:rPr>
          <w:b/>
          <w:szCs w:val="24"/>
        </w:rPr>
        <w:t>N</w:t>
      </w:r>
      <w:r>
        <w:rPr>
          <w:szCs w:val="24"/>
        </w:rPr>
        <w:t xml:space="preserve">), o trzech kondygnacjach nadziemnych zawierający strefę pożarową zaliczoną do kategorii zagrożenia ludzi </w:t>
      </w:r>
      <w:r>
        <w:rPr>
          <w:b/>
          <w:szCs w:val="24"/>
        </w:rPr>
        <w:t>ZL III i ZL II,</w:t>
      </w:r>
      <w:r>
        <w:rPr>
          <w:szCs w:val="24"/>
        </w:rPr>
        <w:t xml:space="preserve"> winien spełniać klasę </w:t>
      </w:r>
      <w:r>
        <w:rPr>
          <w:b/>
          <w:szCs w:val="24"/>
        </w:rPr>
        <w:t>„C”</w:t>
      </w:r>
      <w:r>
        <w:rPr>
          <w:szCs w:val="24"/>
        </w:rPr>
        <w:t xml:space="preserve"> odporności pożarowej. </w:t>
      </w:r>
      <w:r>
        <w:rPr>
          <w:bCs/>
          <w:szCs w:val="24"/>
        </w:rPr>
        <w:t>Elementy budynku powinny być nierozprzestrzeniające ognia, a w zakresie klasy odporności ogniowej spełniać, wymagania określone w tabeli:</w:t>
      </w:r>
    </w:p>
    <w:p>
      <w:pPr>
        <w:pStyle w:val="Normal"/>
        <w:tabs>
          <w:tab w:val="clear" w:pos="708"/>
          <w:tab w:val="left" w:pos="540" w:leader="none"/>
        </w:tabs>
        <w:ind w:firstLine="567" w:left="-142" w:right="0"/>
        <w:rPr>
          <w:rFonts w:ascii="Times New Roman" w:hAnsi="Times New Roman"/>
          <w:bCs/>
          <w:szCs w:val="24"/>
        </w:rPr>
      </w:pPr>
      <w:r>
        <w:rPr>
          <w:bCs/>
          <w:szCs w:val="24"/>
        </w:rPr>
      </w:r>
    </w:p>
    <w:p>
      <w:pPr>
        <w:pStyle w:val="Normal"/>
        <w:tabs>
          <w:tab w:val="clear" w:pos="708"/>
          <w:tab w:val="left" w:pos="540" w:leader="none"/>
        </w:tabs>
        <w:ind w:firstLine="567" w:left="-142" w:right="0"/>
        <w:rPr>
          <w:rFonts w:ascii="Times New Roman" w:hAnsi="Times New Roman"/>
          <w:bCs/>
          <w:szCs w:val="24"/>
        </w:rPr>
      </w:pPr>
      <w:r>
        <w:rPr>
          <w:bCs/>
          <w:szCs w:val="24"/>
        </w:rPr>
      </w:r>
    </w:p>
    <w:p>
      <w:pPr>
        <w:pStyle w:val="Normal"/>
        <w:tabs>
          <w:tab w:val="clear" w:pos="708"/>
          <w:tab w:val="left" w:pos="540" w:leader="none"/>
        </w:tabs>
        <w:ind w:firstLine="567" w:left="-142" w:right="0"/>
        <w:rPr>
          <w:rFonts w:ascii="Times New Roman" w:hAnsi="Times New Roman"/>
          <w:bCs/>
          <w:szCs w:val="24"/>
        </w:rPr>
      </w:pPr>
      <w:r>
        <w:rPr>
          <w:bCs/>
          <w:szCs w:val="24"/>
        </w:rPr>
      </w:r>
    </w:p>
    <w:tbl>
      <w:tblPr>
        <w:tblW w:w="9142" w:type="dxa"/>
        <w:jc w:val="left"/>
        <w:tblInd w:w="60" w:type="dxa"/>
        <w:tblLayout w:type="fixed"/>
        <w:tblCellMar>
          <w:top w:w="60" w:type="dxa"/>
          <w:left w:w="60" w:type="dxa"/>
          <w:bottom w:w="60" w:type="dxa"/>
          <w:right w:w="60" w:type="dxa"/>
        </w:tblCellMar>
      </w:tblPr>
      <w:tblGrid>
        <w:gridCol w:w="1630"/>
        <w:gridCol w:w="1308"/>
        <w:gridCol w:w="1309"/>
        <w:gridCol w:w="925"/>
        <w:gridCol w:w="1419"/>
        <w:gridCol w:w="1421"/>
        <w:gridCol w:w="1130"/>
      </w:tblGrid>
      <w:tr>
        <w:trPr>
          <w:cantSplit w:val="true"/>
        </w:trPr>
        <w:tc>
          <w:tcPr>
            <w:tcW w:w="163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0" w:after="200"/>
              <w:ind w:hanging="0" w:left="0" w:right="0"/>
              <w:jc w:val="center"/>
              <w:rPr>
                <w:rFonts w:ascii="Times New Roman" w:hAnsi="Times New Roman"/>
                <w:b/>
                <w:iCs/>
                <w:color w:val="000000"/>
                <w:sz w:val="20"/>
                <w:szCs w:val="20"/>
              </w:rPr>
            </w:pPr>
            <w:r>
              <w:rPr>
                <w:b/>
                <w:iCs/>
                <w:color w:val="000000"/>
                <w:sz w:val="20"/>
                <w:szCs w:val="20"/>
              </w:rPr>
              <w:t>Klasa odporności pożarowej budynku</w:t>
            </w:r>
          </w:p>
        </w:tc>
        <w:tc>
          <w:tcPr>
            <w:tcW w:w="7512" w:type="dxa"/>
            <w:gridSpan w:val="6"/>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0" w:after="200"/>
              <w:ind w:hanging="0" w:left="0" w:right="0"/>
              <w:jc w:val="center"/>
              <w:rPr>
                <w:rFonts w:ascii="Times New Roman" w:hAnsi="Times New Roman"/>
              </w:rPr>
            </w:pPr>
            <w:r>
              <w:rPr>
                <w:b/>
                <w:iCs/>
                <w:color w:val="000000"/>
                <w:sz w:val="20"/>
                <w:szCs w:val="20"/>
              </w:rPr>
              <w:t>Klasa odporności ogniowej elementów budynku</w:t>
            </w:r>
            <w:r>
              <w:rPr>
                <w:b/>
                <w:iCs/>
                <w:color w:val="000000"/>
                <w:sz w:val="20"/>
                <w:szCs w:val="20"/>
                <w:vertAlign w:val="superscript"/>
              </w:rPr>
              <w:t>5)</w:t>
            </w:r>
          </w:p>
        </w:tc>
      </w:tr>
      <w:tr>
        <w:trPr>
          <w:cantSplit w:val="true"/>
        </w:trPr>
        <w:tc>
          <w:tcPr>
            <w:tcW w:w="163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bidi w:val="0"/>
              <w:spacing w:lineRule="auto" w:line="276" w:before="0" w:after="200"/>
              <w:ind w:hanging="0" w:left="0"/>
              <w:rPr/>
            </w:pPr>
            <w:r>
              <w:rPr/>
            </w:r>
          </w:p>
        </w:tc>
        <w:tc>
          <w:tcPr>
            <w:tcW w:w="13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b/>
                <w:iCs/>
                <w:color w:val="000000"/>
                <w:sz w:val="20"/>
                <w:szCs w:val="20"/>
              </w:rPr>
            </w:pPr>
            <w:r>
              <w:rPr>
                <w:b/>
                <w:iCs/>
                <w:color w:val="000000"/>
                <w:sz w:val="20"/>
                <w:szCs w:val="20"/>
              </w:rPr>
              <w:t>Główna konstrukcja nośna</w:t>
            </w:r>
          </w:p>
        </w:tc>
        <w:tc>
          <w:tcPr>
            <w:tcW w:w="13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b/>
                <w:iCs/>
                <w:color w:val="000000"/>
                <w:sz w:val="20"/>
                <w:szCs w:val="20"/>
              </w:rPr>
            </w:pPr>
            <w:r>
              <w:rPr>
                <w:b/>
                <w:iCs/>
                <w:color w:val="000000"/>
                <w:sz w:val="20"/>
                <w:szCs w:val="20"/>
              </w:rPr>
              <w:t>konstrukcja dachu</w:t>
            </w:r>
          </w:p>
        </w:tc>
        <w:tc>
          <w:tcPr>
            <w:tcW w:w="9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rPr>
            </w:pPr>
            <w:r>
              <w:rPr>
                <w:b/>
                <w:iCs/>
                <w:color w:val="000000"/>
                <w:sz w:val="20"/>
                <w:szCs w:val="20"/>
              </w:rPr>
              <w:t>strop</w:t>
            </w:r>
            <w:r>
              <w:rPr>
                <w:b/>
                <w:iCs/>
                <w:color w:val="000000"/>
                <w:sz w:val="20"/>
                <w:szCs w:val="20"/>
                <w:vertAlign w:val="superscript"/>
              </w:rPr>
              <w:t>1)</w:t>
            </w:r>
          </w:p>
        </w:tc>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rPr>
            </w:pPr>
            <w:r>
              <w:rPr>
                <w:b/>
                <w:iCs/>
                <w:color w:val="000000"/>
                <w:sz w:val="20"/>
                <w:szCs w:val="20"/>
              </w:rPr>
              <w:t>ściana zewnętrzna</w:t>
            </w:r>
            <w:r>
              <w:rPr>
                <w:b/>
                <w:iCs/>
                <w:color w:val="000000"/>
                <w:sz w:val="20"/>
                <w:szCs w:val="20"/>
                <w:vertAlign w:val="superscript"/>
              </w:rPr>
              <w:t>1), 2)</w:t>
            </w:r>
          </w:p>
        </w:tc>
        <w:tc>
          <w:tcPr>
            <w:tcW w:w="14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hanging="0" w:left="0" w:right="0"/>
              <w:jc w:val="center"/>
              <w:rPr>
                <w:rFonts w:ascii="Times New Roman" w:hAnsi="Times New Roman"/>
                <w:b/>
                <w:iCs/>
                <w:color w:val="000000"/>
                <w:sz w:val="20"/>
                <w:szCs w:val="20"/>
              </w:rPr>
            </w:pPr>
            <w:r>
              <w:rPr>
                <w:b/>
                <w:iCs/>
                <w:color w:val="000000"/>
                <w:sz w:val="20"/>
                <w:szCs w:val="20"/>
              </w:rPr>
              <w:t>Ściana</w:t>
            </w:r>
          </w:p>
          <w:p>
            <w:pPr>
              <w:pStyle w:val="Normal"/>
              <w:widowControl w:val="false"/>
              <w:spacing w:before="0" w:after="200"/>
              <w:ind w:hanging="0" w:left="0" w:right="0"/>
              <w:jc w:val="center"/>
              <w:rPr>
                <w:rFonts w:ascii="Times New Roman" w:hAnsi="Times New Roman"/>
              </w:rPr>
            </w:pPr>
            <w:r>
              <w:rPr>
                <w:b/>
                <w:iCs/>
                <w:color w:val="000000"/>
                <w:sz w:val="20"/>
                <w:szCs w:val="20"/>
              </w:rPr>
              <w:t>wewnętrzna</w:t>
            </w:r>
            <w:r>
              <w:rPr>
                <w:b/>
                <w:iCs/>
                <w:color w:val="000000"/>
                <w:sz w:val="20"/>
                <w:szCs w:val="20"/>
                <w:vertAlign w:val="superscript"/>
              </w:rPr>
              <w:t>1)</w:t>
            </w:r>
          </w:p>
        </w:tc>
        <w:tc>
          <w:tcPr>
            <w:tcW w:w="11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rPr>
            </w:pPr>
            <w:r>
              <w:rPr>
                <w:b/>
                <w:iCs/>
                <w:color w:val="000000"/>
                <w:sz w:val="20"/>
                <w:szCs w:val="20"/>
              </w:rPr>
              <w:t>przekrycie dachu</w:t>
            </w:r>
            <w:r>
              <w:rPr>
                <w:b/>
                <w:iCs/>
                <w:color w:val="000000"/>
                <w:sz w:val="20"/>
                <w:szCs w:val="20"/>
                <w:vertAlign w:val="superscript"/>
              </w:rPr>
              <w:t>3)</w:t>
            </w:r>
          </w:p>
        </w:tc>
      </w:tr>
      <w:tr>
        <w:trPr/>
        <w:tc>
          <w:tcPr>
            <w:tcW w:w="16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iCs/>
                <w:color w:val="000000"/>
                <w:sz w:val="20"/>
                <w:szCs w:val="20"/>
              </w:rPr>
            </w:pPr>
            <w:r>
              <w:rPr>
                <w:iCs/>
                <w:color w:val="000000"/>
                <w:sz w:val="20"/>
                <w:szCs w:val="20"/>
              </w:rPr>
              <w:t>1</w:t>
            </w:r>
          </w:p>
        </w:tc>
        <w:tc>
          <w:tcPr>
            <w:tcW w:w="13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iCs/>
                <w:color w:val="000000"/>
                <w:sz w:val="20"/>
                <w:szCs w:val="20"/>
              </w:rPr>
            </w:pPr>
            <w:r>
              <w:rPr>
                <w:iCs/>
                <w:color w:val="000000"/>
                <w:sz w:val="20"/>
                <w:szCs w:val="20"/>
              </w:rPr>
              <w:t>2</w:t>
            </w:r>
          </w:p>
        </w:tc>
        <w:tc>
          <w:tcPr>
            <w:tcW w:w="13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iCs/>
                <w:color w:val="000000"/>
                <w:sz w:val="20"/>
                <w:szCs w:val="20"/>
              </w:rPr>
            </w:pPr>
            <w:r>
              <w:rPr>
                <w:iCs/>
                <w:color w:val="000000"/>
                <w:sz w:val="20"/>
                <w:szCs w:val="20"/>
              </w:rPr>
              <w:t>3</w:t>
            </w:r>
          </w:p>
        </w:tc>
        <w:tc>
          <w:tcPr>
            <w:tcW w:w="9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iCs/>
                <w:color w:val="000000"/>
                <w:sz w:val="20"/>
                <w:szCs w:val="20"/>
              </w:rPr>
            </w:pPr>
            <w:r>
              <w:rPr>
                <w:iCs/>
                <w:color w:val="000000"/>
                <w:sz w:val="20"/>
                <w:szCs w:val="20"/>
              </w:rPr>
              <w:t>4</w:t>
            </w:r>
          </w:p>
        </w:tc>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iCs/>
                <w:color w:val="000000"/>
                <w:sz w:val="20"/>
                <w:szCs w:val="20"/>
              </w:rPr>
            </w:pPr>
            <w:r>
              <w:rPr>
                <w:iCs/>
                <w:color w:val="000000"/>
                <w:sz w:val="20"/>
                <w:szCs w:val="20"/>
              </w:rPr>
              <w:t>5</w:t>
            </w:r>
          </w:p>
        </w:tc>
        <w:tc>
          <w:tcPr>
            <w:tcW w:w="14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iCs/>
                <w:color w:val="000000"/>
                <w:sz w:val="20"/>
                <w:szCs w:val="20"/>
              </w:rPr>
            </w:pPr>
            <w:r>
              <w:rPr>
                <w:iCs/>
                <w:color w:val="000000"/>
                <w:sz w:val="20"/>
                <w:szCs w:val="20"/>
              </w:rPr>
              <w:t>6</w:t>
            </w:r>
          </w:p>
        </w:tc>
        <w:tc>
          <w:tcPr>
            <w:tcW w:w="11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iCs/>
                <w:color w:val="000000"/>
                <w:sz w:val="20"/>
                <w:szCs w:val="20"/>
              </w:rPr>
            </w:pPr>
            <w:r>
              <w:rPr>
                <w:iCs/>
                <w:color w:val="000000"/>
                <w:sz w:val="20"/>
                <w:szCs w:val="20"/>
              </w:rPr>
              <w:t>7</w:t>
            </w:r>
          </w:p>
        </w:tc>
      </w:tr>
      <w:tr>
        <w:trPr/>
        <w:tc>
          <w:tcPr>
            <w:tcW w:w="16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b/>
                <w:color w:val="000000"/>
                <w:sz w:val="20"/>
                <w:szCs w:val="20"/>
              </w:rPr>
            </w:pPr>
            <w:r>
              <w:rPr>
                <w:b/>
                <w:color w:val="000000"/>
                <w:sz w:val="20"/>
                <w:szCs w:val="20"/>
              </w:rPr>
              <w:t>„</w:t>
            </w:r>
            <w:r>
              <w:rPr>
                <w:b/>
                <w:color w:val="000000"/>
                <w:sz w:val="20"/>
                <w:szCs w:val="20"/>
              </w:rPr>
              <w:t>C”</w:t>
            </w:r>
          </w:p>
        </w:tc>
        <w:tc>
          <w:tcPr>
            <w:tcW w:w="13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b/>
                <w:iCs/>
                <w:color w:val="000000"/>
                <w:sz w:val="20"/>
                <w:szCs w:val="20"/>
                <w:lang w:val="de-DE"/>
              </w:rPr>
            </w:pPr>
            <w:r>
              <w:rPr>
                <w:b/>
                <w:iCs/>
                <w:color w:val="000000"/>
                <w:sz w:val="20"/>
                <w:szCs w:val="20"/>
                <w:lang w:val="de-DE"/>
              </w:rPr>
              <w:t>R 60</w:t>
            </w:r>
          </w:p>
        </w:tc>
        <w:tc>
          <w:tcPr>
            <w:tcW w:w="13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b/>
                <w:iCs/>
                <w:color w:val="000000"/>
                <w:sz w:val="20"/>
                <w:szCs w:val="20"/>
                <w:lang w:val="de-DE"/>
              </w:rPr>
            </w:pPr>
            <w:r>
              <w:rPr>
                <w:b/>
                <w:iCs/>
                <w:color w:val="000000"/>
                <w:sz w:val="20"/>
                <w:szCs w:val="20"/>
                <w:lang w:val="de-DE"/>
              </w:rPr>
              <w:t>R 15</w:t>
            </w:r>
          </w:p>
        </w:tc>
        <w:tc>
          <w:tcPr>
            <w:tcW w:w="9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b/>
                <w:iCs/>
                <w:color w:val="000000"/>
                <w:sz w:val="20"/>
                <w:szCs w:val="20"/>
                <w:lang w:val="de-DE"/>
              </w:rPr>
            </w:pPr>
            <w:r>
              <w:rPr>
                <w:b/>
                <w:iCs/>
                <w:color w:val="000000"/>
                <w:sz w:val="20"/>
                <w:szCs w:val="20"/>
                <w:lang w:val="de-DE"/>
              </w:rPr>
              <w:t>REI 60</w:t>
            </w:r>
          </w:p>
        </w:tc>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hanging="0" w:left="0" w:right="0"/>
              <w:jc w:val="center"/>
              <w:rPr>
                <w:rFonts w:ascii="Times New Roman" w:hAnsi="Times New Roman"/>
                <w:b/>
                <w:iCs/>
                <w:color w:val="000000"/>
                <w:sz w:val="20"/>
                <w:szCs w:val="20"/>
              </w:rPr>
            </w:pPr>
            <w:r>
              <w:rPr>
                <w:b/>
                <w:iCs/>
                <w:color w:val="000000"/>
                <w:sz w:val="20"/>
                <w:szCs w:val="20"/>
              </w:rPr>
              <w:t>EI 30</w:t>
            </w:r>
          </w:p>
          <w:p>
            <w:pPr>
              <w:pStyle w:val="Normal"/>
              <w:widowControl w:val="false"/>
              <w:spacing w:before="0" w:after="200"/>
              <w:ind w:hanging="0" w:left="0" w:right="0"/>
              <w:jc w:val="center"/>
              <w:rPr>
                <w:rFonts w:ascii="Times New Roman" w:hAnsi="Times New Roman"/>
                <w:b/>
                <w:iCs/>
                <w:color w:val="000000"/>
                <w:sz w:val="20"/>
                <w:szCs w:val="20"/>
              </w:rPr>
            </w:pPr>
            <w:r>
              <w:rPr>
                <w:b/>
                <w:iCs/>
                <w:color w:val="000000"/>
                <w:sz w:val="20"/>
                <w:szCs w:val="20"/>
              </w:rPr>
              <w:t>(o – i)</w:t>
            </w:r>
          </w:p>
        </w:tc>
        <w:tc>
          <w:tcPr>
            <w:tcW w:w="14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rPr>
            </w:pPr>
            <w:r>
              <w:rPr>
                <w:b/>
                <w:iCs/>
                <w:color w:val="000000"/>
                <w:sz w:val="20"/>
                <w:szCs w:val="20"/>
                <w:lang w:val="de-DE"/>
              </w:rPr>
              <w:t>EI 15</w:t>
            </w:r>
            <w:r>
              <w:rPr>
                <w:b/>
                <w:iCs/>
                <w:color w:val="000000"/>
                <w:sz w:val="20"/>
                <w:szCs w:val="20"/>
                <w:vertAlign w:val="superscript"/>
                <w:lang w:val="de-DE"/>
              </w:rPr>
              <w:t>4)</w:t>
            </w:r>
          </w:p>
        </w:tc>
        <w:tc>
          <w:tcPr>
            <w:tcW w:w="11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b/>
                <w:iCs/>
                <w:color w:val="000000"/>
                <w:sz w:val="20"/>
                <w:szCs w:val="20"/>
                <w:lang w:val="de-DE"/>
              </w:rPr>
            </w:pPr>
            <w:r>
              <w:rPr>
                <w:b/>
                <w:iCs/>
                <w:color w:val="000000"/>
                <w:sz w:val="20"/>
                <w:szCs w:val="20"/>
                <w:lang w:val="de-DE"/>
              </w:rPr>
              <w:t>RE 15</w:t>
            </w:r>
          </w:p>
        </w:tc>
      </w:tr>
      <w:tr>
        <w:trPr/>
        <w:tc>
          <w:tcPr>
            <w:tcW w:w="9142" w:type="dxa"/>
            <w:gridSpan w:val="7"/>
            <w:tcBorders>
              <w:top w:val="single" w:sz="4" w:space="0" w:color="000000"/>
              <w:left w:val="single" w:sz="4" w:space="0" w:color="000000"/>
              <w:bottom w:val="single" w:sz="4" w:space="0" w:color="000000"/>
              <w:right w:val="single" w:sz="4" w:space="0" w:color="000000"/>
            </w:tcBorders>
            <w:tcMar>
              <w:top w:w="75" w:type="dxa"/>
              <w:left w:w="75" w:type="dxa"/>
              <w:bottom w:w="75" w:type="dxa"/>
              <w:right w:w="75" w:type="dxa"/>
            </w:tcMar>
            <w:vAlign w:val="center"/>
          </w:tcPr>
          <w:p>
            <w:pPr>
              <w:pStyle w:val="Normal"/>
              <w:widowControl w:val="false"/>
              <w:ind w:hanging="0" w:left="0" w:right="0"/>
              <w:textAlignment w:val="top"/>
              <w:rPr>
                <w:rFonts w:ascii="Times New Roman" w:hAnsi="Times New Roman"/>
                <w:iCs/>
                <w:color w:val="000000"/>
                <w:sz w:val="20"/>
                <w:szCs w:val="20"/>
              </w:rPr>
            </w:pPr>
            <w:r>
              <w:rPr>
                <w:iCs/>
                <w:color w:val="000000"/>
                <w:sz w:val="20"/>
                <w:szCs w:val="20"/>
              </w:rPr>
              <w:t>Oznaczenia w tabeli:</w:t>
            </w:r>
          </w:p>
          <w:p>
            <w:pPr>
              <w:pStyle w:val="Normal"/>
              <w:widowControl w:val="false"/>
              <w:ind w:hanging="0" w:left="0" w:right="0"/>
              <w:textAlignment w:val="top"/>
              <w:rPr>
                <w:rFonts w:ascii="Times New Roman" w:hAnsi="Times New Roman"/>
                <w:iCs/>
                <w:color w:val="000000"/>
                <w:sz w:val="20"/>
                <w:szCs w:val="20"/>
              </w:rPr>
            </w:pPr>
            <w:r>
              <w:rPr>
                <w:iCs/>
                <w:color w:val="000000"/>
                <w:sz w:val="20"/>
                <w:szCs w:val="20"/>
              </w:rPr>
              <w:t>R - nośność ogniowa (w minutach), określona zgodnie z Polską Normą dotyczącą zasad ustalania klas odporności ogniowej elementów budynku,</w:t>
            </w:r>
          </w:p>
          <w:p>
            <w:pPr>
              <w:pStyle w:val="Normal"/>
              <w:widowControl w:val="false"/>
              <w:ind w:hanging="0" w:left="0" w:right="0"/>
              <w:textAlignment w:val="top"/>
              <w:rPr>
                <w:rFonts w:ascii="Times New Roman" w:hAnsi="Times New Roman"/>
                <w:iCs/>
                <w:color w:val="000000"/>
                <w:sz w:val="20"/>
                <w:szCs w:val="20"/>
              </w:rPr>
            </w:pPr>
            <w:r>
              <w:rPr>
                <w:iCs/>
                <w:color w:val="000000"/>
                <w:sz w:val="20"/>
                <w:szCs w:val="20"/>
              </w:rPr>
              <w:t>E - szczelność ogniowa (w minutach), określona jw.,</w:t>
            </w:r>
          </w:p>
          <w:p>
            <w:pPr>
              <w:pStyle w:val="Normal"/>
              <w:widowControl w:val="false"/>
              <w:ind w:hanging="0" w:left="0" w:right="0"/>
              <w:textAlignment w:val="top"/>
              <w:rPr>
                <w:rFonts w:ascii="Times New Roman" w:hAnsi="Times New Roman"/>
                <w:iCs/>
                <w:color w:val="000000"/>
                <w:sz w:val="20"/>
                <w:szCs w:val="20"/>
              </w:rPr>
            </w:pPr>
            <w:r>
              <w:rPr>
                <w:iCs/>
                <w:color w:val="000000"/>
                <w:sz w:val="20"/>
                <w:szCs w:val="20"/>
              </w:rPr>
              <w:t>I - izolacyjność ogniowa (w minutach), określona jw.,</w:t>
            </w:r>
          </w:p>
          <w:p>
            <w:pPr>
              <w:pStyle w:val="Normal"/>
              <w:widowControl w:val="false"/>
              <w:ind w:hanging="0" w:left="0" w:right="0"/>
              <w:textAlignment w:val="top"/>
              <w:rPr>
                <w:rFonts w:ascii="Times New Roman" w:hAnsi="Times New Roman"/>
              </w:rPr>
            </w:pPr>
            <w:r>
              <w:rPr>
                <w:iCs/>
                <w:color w:val="000000"/>
                <w:sz w:val="20"/>
                <w:szCs w:val="20"/>
                <w:vertAlign w:val="superscript"/>
              </w:rPr>
              <w:t>1)</w:t>
            </w:r>
            <w:r>
              <w:rPr>
                <w:iCs/>
                <w:color w:val="000000"/>
                <w:sz w:val="20"/>
                <w:szCs w:val="20"/>
              </w:rPr>
              <w:t>Jeżeli przegroda jest częścią głównej konstrukcji nośnej, powinna spełniać także kryteria nośności ogniowej (R) odpowiednio do wymagań zawartych w kol. 2 i 3 dla danej klasy odporności pożarowej budynku.</w:t>
            </w:r>
          </w:p>
          <w:p>
            <w:pPr>
              <w:pStyle w:val="Normal"/>
              <w:widowControl w:val="false"/>
              <w:ind w:hanging="0" w:left="0" w:right="0"/>
              <w:textAlignment w:val="top"/>
              <w:rPr>
                <w:rFonts w:ascii="Times New Roman" w:hAnsi="Times New Roman"/>
              </w:rPr>
            </w:pPr>
            <w:r>
              <w:rPr>
                <w:iCs/>
                <w:color w:val="000000"/>
                <w:sz w:val="20"/>
                <w:szCs w:val="20"/>
                <w:vertAlign w:val="superscript"/>
              </w:rPr>
              <w:t>2)</w:t>
            </w:r>
            <w:r>
              <w:rPr>
                <w:iCs/>
                <w:color w:val="000000"/>
                <w:sz w:val="20"/>
                <w:szCs w:val="20"/>
              </w:rPr>
              <w:t>Klasa odporności ogniowej dotyczy pasa międzykondygnacyjnego wraz z połączeniem ze stropem.</w:t>
            </w:r>
          </w:p>
          <w:p>
            <w:pPr>
              <w:pStyle w:val="Normal"/>
              <w:widowControl w:val="false"/>
              <w:ind w:hanging="0" w:left="0" w:right="0"/>
              <w:textAlignment w:val="top"/>
              <w:rPr>
                <w:rFonts w:ascii="Times New Roman" w:hAnsi="Times New Roman"/>
              </w:rPr>
            </w:pPr>
            <w:r>
              <w:rPr>
                <w:iCs/>
                <w:color w:val="000000"/>
                <w:sz w:val="20"/>
                <w:szCs w:val="20"/>
                <w:vertAlign w:val="superscript"/>
              </w:rPr>
              <w:t>3)</w:t>
            </w:r>
            <w:r>
              <w:rPr>
                <w:iCs/>
                <w:color w:val="000000"/>
                <w:sz w:val="20"/>
                <w:szCs w:val="20"/>
              </w:rPr>
              <w:t>Wymagania nie dotyczą naświetli dachowych, świetlików, lukarn i okien połaciowych (z zastrzeżeniem § 218), jeśli otwory w połaci dachowej nie zajmują więcej niż 20% jej powierzchni; nie dotyczą także budynku, w którym nad najwyższą kondygnacją znajduje się strop albo inna przegroda, spełniająca kryteria określone w kol. 4.</w:t>
            </w:r>
          </w:p>
          <w:p>
            <w:pPr>
              <w:pStyle w:val="Normal"/>
              <w:widowControl w:val="false"/>
              <w:ind w:hanging="0" w:left="0" w:right="0"/>
              <w:textAlignment w:val="top"/>
              <w:rPr>
                <w:rFonts w:ascii="Times New Roman" w:hAnsi="Times New Roman"/>
              </w:rPr>
            </w:pPr>
            <w:r>
              <w:rPr>
                <w:iCs/>
                <w:color w:val="000000"/>
                <w:sz w:val="20"/>
                <w:szCs w:val="20"/>
                <w:vertAlign w:val="superscript"/>
              </w:rPr>
              <w:t>4)</w:t>
            </w:r>
            <w:r>
              <w:rPr>
                <w:iCs/>
                <w:color w:val="000000"/>
                <w:sz w:val="20"/>
                <w:szCs w:val="20"/>
              </w:rPr>
              <w:t>Dla ścian komór zsypu wymaga się klasy E I 60, a dla drzwi komór zsypu klasy E I 30.</w:t>
            </w:r>
          </w:p>
          <w:p>
            <w:pPr>
              <w:pStyle w:val="Normal"/>
              <w:widowControl w:val="false"/>
              <w:spacing w:before="0" w:after="200"/>
              <w:ind w:hanging="0" w:left="0" w:right="0"/>
              <w:textAlignment w:val="top"/>
              <w:rPr>
                <w:rFonts w:ascii="Times New Roman" w:hAnsi="Times New Roman"/>
              </w:rPr>
            </w:pPr>
            <w:r>
              <w:rPr>
                <w:iCs/>
                <w:color w:val="000000"/>
                <w:sz w:val="20"/>
                <w:szCs w:val="20"/>
                <w:vertAlign w:val="superscript"/>
              </w:rPr>
              <w:t>5)</w:t>
            </w:r>
            <w:r>
              <w:rPr>
                <w:iCs/>
                <w:color w:val="000000"/>
                <w:sz w:val="20"/>
                <w:szCs w:val="20"/>
              </w:rPr>
              <w:t>Klasa odporności ogniowej dotyczy elementów wraz z uszczelnieniami złączy i dylatacjami.</w:t>
            </w:r>
          </w:p>
        </w:tc>
      </w:tr>
    </w:tbl>
    <w:p>
      <w:pPr>
        <w:pStyle w:val="Normal"/>
        <w:ind w:hanging="0" w:left="0"/>
        <w:rPr>
          <w:rFonts w:ascii="Times New Roman" w:hAnsi="Times New Roman"/>
        </w:rPr>
      </w:pPr>
      <w:r>
        <w:rPr/>
      </w:r>
    </w:p>
    <w:p>
      <w:pPr>
        <w:pStyle w:val="Normal"/>
        <w:ind w:hanging="0" w:left="0"/>
        <w:rPr>
          <w:rFonts w:ascii="Times New Roman" w:hAnsi="Times New Roman"/>
        </w:rPr>
      </w:pPr>
      <w:r>
        <w:rPr/>
        <w:t xml:space="preserve">Wszystkie elementy budynku są wykonane z materiałów nierozprzestrzeniających ognia, jak i spełniających wymagania, co do klasy odporności ogniowej, określone jak dla budynków wykonanych w klasie „C” odporności pożarowej. </w:t>
      </w:r>
    </w:p>
    <w:p>
      <w:pPr>
        <w:pStyle w:val="Normal"/>
        <w:ind w:hanging="0" w:left="0"/>
        <w:rPr>
          <w:rFonts w:ascii="Times New Roman" w:hAnsi="Times New Roman"/>
        </w:rPr>
      </w:pPr>
      <w:r>
        <w:rPr>
          <w:u w:val="single"/>
        </w:rPr>
        <w:t>Kotłownia gazowa zlokalizowana na kondygnacji podziemnej nie wydzielona przeciwpożarowo drzwiami o klasie odporności EI 30</w:t>
      </w:r>
      <w:r>
        <w:rPr/>
        <w:t xml:space="preserve">. Ściany oraz stropy wydzielające kotłownię spełniają wymagania w zakresie klasy odporności ogniowej.   </w:t>
      </w:r>
    </w:p>
    <w:p>
      <w:pPr>
        <w:pStyle w:val="Heading2"/>
        <w:rPr>
          <w:rFonts w:ascii="Times New Roman" w:hAnsi="Times New Roman"/>
          <w:color w:val="000000"/>
        </w:rPr>
      </w:pPr>
      <w:bookmarkStart w:id="17" w:name="__RefHeading___Toc411372034"/>
      <w:bookmarkEnd w:id="17"/>
      <w:r>
        <w:rPr>
          <w:color w:val="000000"/>
        </w:rPr>
        <w:t>Warunki ewakuacji</w:t>
      </w:r>
    </w:p>
    <w:p>
      <w:pPr>
        <w:pStyle w:val="Normal"/>
        <w:tabs>
          <w:tab w:val="clear" w:pos="708"/>
          <w:tab w:val="left" w:pos="540" w:leader="none"/>
        </w:tabs>
        <w:ind w:hanging="0" w:left="0"/>
        <w:rPr>
          <w:rFonts w:ascii="Times New Roman" w:hAnsi="Times New Roman"/>
        </w:rPr>
      </w:pPr>
      <w:r>
        <w:rPr>
          <w:szCs w:val="24"/>
        </w:rPr>
        <w:t>W obowiązujących przepisach odpowiednie warunki ewakuacji polegają w</w:t>
      </w:r>
      <w:r>
        <w:rPr/>
        <w:t> </w:t>
      </w:r>
      <w:r>
        <w:rPr>
          <w:szCs w:val="24"/>
        </w:rPr>
        <w:t>szczególności na:</w:t>
      </w:r>
    </w:p>
    <w:p>
      <w:pPr>
        <w:pStyle w:val="Normal"/>
        <w:numPr>
          <w:ilvl w:val="0"/>
          <w:numId w:val="43"/>
        </w:numPr>
        <w:tabs>
          <w:tab w:val="clear" w:pos="708"/>
          <w:tab w:val="left" w:pos="284" w:leader="none"/>
          <w:tab w:val="left" w:pos="540" w:leader="none"/>
        </w:tabs>
        <w:rPr/>
      </w:pPr>
      <w:r>
        <w:rPr>
          <w:szCs w:val="24"/>
        </w:rPr>
        <w:t>zapewnieniu odpowiedniej ilości i szerokości wyjść,</w:t>
      </w:r>
    </w:p>
    <w:p>
      <w:pPr>
        <w:pStyle w:val="Normal"/>
        <w:numPr>
          <w:ilvl w:val="0"/>
          <w:numId w:val="43"/>
        </w:numPr>
        <w:tabs>
          <w:tab w:val="clear" w:pos="708"/>
          <w:tab w:val="left" w:pos="284" w:leader="none"/>
          <w:tab w:val="left" w:pos="540" w:leader="none"/>
        </w:tabs>
        <w:rPr/>
      </w:pPr>
      <w:r>
        <w:rPr>
          <w:szCs w:val="24"/>
        </w:rPr>
        <w:t>zachowaniu odpowiedniej długości dróg ewakuacyjnych,</w:t>
      </w:r>
    </w:p>
    <w:p>
      <w:pPr>
        <w:pStyle w:val="Normal"/>
        <w:numPr>
          <w:ilvl w:val="0"/>
          <w:numId w:val="43"/>
        </w:numPr>
        <w:tabs>
          <w:tab w:val="clear" w:pos="708"/>
          <w:tab w:val="left" w:pos="284" w:leader="none"/>
          <w:tab w:val="left" w:pos="540" w:leader="none"/>
        </w:tabs>
        <w:rPr/>
      </w:pPr>
      <w:r>
        <w:rPr>
          <w:szCs w:val="24"/>
        </w:rPr>
        <w:t>bezpiecznej pożarowo obudowy,</w:t>
      </w:r>
    </w:p>
    <w:p>
      <w:pPr>
        <w:pStyle w:val="Normal"/>
        <w:numPr>
          <w:ilvl w:val="0"/>
          <w:numId w:val="43"/>
        </w:numPr>
        <w:tabs>
          <w:tab w:val="clear" w:pos="708"/>
          <w:tab w:val="left" w:pos="284" w:leader="none"/>
          <w:tab w:val="left" w:pos="540" w:leader="none"/>
        </w:tabs>
        <w:rPr>
          <w:rFonts w:ascii="Times New Roman" w:hAnsi="Times New Roman"/>
          <w:szCs w:val="24"/>
        </w:rPr>
      </w:pPr>
      <w:r>
        <w:rPr>
          <w:szCs w:val="24"/>
        </w:rPr>
        <w:t>wydzieleniu dróg ewakuacyjnych i zabezpieczeniu ich przed zadymieniem.</w:t>
      </w:r>
    </w:p>
    <w:p>
      <w:pPr>
        <w:pStyle w:val="Normal"/>
        <w:tabs>
          <w:tab w:val="clear" w:pos="708"/>
          <w:tab w:val="left" w:pos="540" w:leader="none"/>
        </w:tabs>
        <w:ind w:hanging="0" w:left="0"/>
        <w:rPr>
          <w:rFonts w:ascii="Times New Roman" w:hAnsi="Times New Roman"/>
        </w:rPr>
      </w:pPr>
      <w:r>
        <w:rPr>
          <w:szCs w:val="24"/>
        </w:rPr>
        <w:t>Z pomieszczeń przeznaczonych na pobyt ludzi należy zapewnić możliwość ewakuacji</w:t>
      </w:r>
      <w:r>
        <w:rPr/>
        <w:t xml:space="preserve"> </w:t>
      </w:r>
      <w:r>
        <w:rPr>
          <w:szCs w:val="24"/>
        </w:rPr>
        <w:t>w bezpieczne miejsce na zewnątrz budynku lub do sąsiedniej strefy pożarowej, bezpośrednio albo drogami komunikacji ogólnej, zwanymi „drogami ewakuacyjnymi".</w:t>
      </w:r>
    </w:p>
    <w:p>
      <w:pPr>
        <w:pStyle w:val="Normal"/>
        <w:tabs>
          <w:tab w:val="clear" w:pos="708"/>
          <w:tab w:val="left" w:pos="540" w:leader="none"/>
        </w:tabs>
        <w:ind w:hanging="0" w:left="0"/>
        <w:rPr>
          <w:rFonts w:ascii="Times New Roman" w:hAnsi="Times New Roman"/>
          <w:szCs w:val="24"/>
        </w:rPr>
      </w:pPr>
      <w:r>
        <w:rPr>
          <w:szCs w:val="24"/>
        </w:rPr>
        <w:t>Wyjścia z pomieszczeń na drogi ewakuacyjne powinny być zamykane drzwiami. Drzwi stanowiące wyjście ewakuacyjne z budynku przeznaczonego dla więcej niż 50 osób powinny otwierać się na zewnątrz.</w:t>
      </w:r>
    </w:p>
    <w:p>
      <w:pPr>
        <w:pStyle w:val="Normal"/>
        <w:tabs>
          <w:tab w:val="clear" w:pos="708"/>
          <w:tab w:val="left" w:pos="540" w:leader="none"/>
        </w:tabs>
        <w:ind w:hanging="0" w:left="0"/>
        <w:rPr>
          <w:rFonts w:ascii="Times New Roman" w:hAnsi="Times New Roman"/>
        </w:rPr>
      </w:pPr>
      <w:r>
        <w:rPr>
          <w:szCs w:val="24"/>
        </w:rPr>
        <w:t xml:space="preserve">W pomieszczeniach, zgodnie z </w:t>
      </w:r>
      <w:r>
        <w:rPr>
          <w:i/>
          <w:szCs w:val="24"/>
        </w:rPr>
        <w:t>§ 237 ust. 1 pkt 1</w:t>
      </w:r>
      <w:r>
        <w:rPr>
          <w:szCs w:val="24"/>
        </w:rPr>
        <w:t xml:space="preserve"> rozporządzenia – w sprawie warunków technicznych, jakim powinny odpowiadać budynki i ich usytuowanie, od najdalszego miejsca,</w:t>
      </w:r>
      <w:r>
        <w:rPr/>
        <w:t xml:space="preserve"> </w:t>
      </w:r>
      <w:r>
        <w:rPr>
          <w:szCs w:val="24"/>
        </w:rPr>
        <w:t>w którym może przebywać człowiek, do wyjścia ewakuacyjnego na drogę ewakuacyjną lub do innej strefy pożarowej albo na zewnątrz budynku, powinno być zapewnione przejście ewakuacyjne,</w:t>
      </w:r>
      <w:r>
        <w:rPr/>
        <w:t xml:space="preserve"> </w:t>
      </w:r>
      <w:r>
        <w:rPr>
          <w:szCs w:val="24"/>
        </w:rPr>
        <w:t>o długości nieprzekraczającej w strefach pożarowych ZL - 40</w:t>
      </w:r>
      <w:r>
        <w:rPr/>
        <w:t> </w:t>
      </w:r>
      <w:r>
        <w:rPr>
          <w:szCs w:val="24"/>
        </w:rPr>
        <w:t>m.</w:t>
      </w:r>
      <w:r>
        <w:rPr/>
        <w:t xml:space="preserve"> Wyjścia z pomieszczeń prowadzą na poziome drogi ewakuacyjne.</w:t>
      </w:r>
    </w:p>
    <w:p>
      <w:pPr>
        <w:pStyle w:val="Normal"/>
        <w:tabs>
          <w:tab w:val="clear" w:pos="708"/>
          <w:tab w:val="left" w:pos="540" w:leader="none"/>
        </w:tabs>
        <w:ind w:hanging="0" w:left="0"/>
        <w:rPr>
          <w:rFonts w:ascii="Times New Roman" w:hAnsi="Times New Roman"/>
        </w:rPr>
      </w:pPr>
      <w:r>
        <w:rPr>
          <w:szCs w:val="24"/>
        </w:rPr>
        <w:t xml:space="preserve">Szerokość przejść ewakuacyjnych w budynku </w:t>
      </w:r>
      <w:r>
        <w:rPr>
          <w:i/>
          <w:szCs w:val="24"/>
        </w:rPr>
        <w:t>(§ 237 ust. 10 rozporządzenia</w:t>
      </w:r>
      <w:r>
        <w:rPr>
          <w:i/>
        </w:rPr>
        <w:t xml:space="preserve"> </w:t>
      </w:r>
      <w:r>
        <w:rPr>
          <w:i/>
          <w:szCs w:val="24"/>
        </w:rPr>
        <w:t>– w sprawie warunków technicznych, jakim powinny odpowiadać budynki i</w:t>
      </w:r>
      <w:r>
        <w:rPr>
          <w:i/>
        </w:rPr>
        <w:t> </w:t>
      </w:r>
      <w:r>
        <w:rPr>
          <w:i/>
          <w:szCs w:val="24"/>
        </w:rPr>
        <w:t>ich usytuowani</w:t>
      </w:r>
      <w:r>
        <w:rPr>
          <w:i/>
        </w:rPr>
        <w:t>e</w:t>
      </w:r>
      <w:r>
        <w:rPr>
          <w:i/>
          <w:szCs w:val="24"/>
        </w:rPr>
        <w:t xml:space="preserve"> obliczana proporcjonalnie do liczby osób, do których ewakuacji ono służy, przyjmując co najmniej</w:t>
      </w:r>
      <w:r>
        <w:rPr>
          <w:i/>
        </w:rPr>
        <w:t xml:space="preserve"> </w:t>
      </w:r>
      <w:r>
        <w:rPr>
          <w:i/>
          <w:szCs w:val="24"/>
        </w:rPr>
        <w:t>0,6 m na 100 osób, lecz nie mniej niż 0,9 m</w:t>
      </w:r>
      <w:r>
        <w:rPr>
          <w:szCs w:val="24"/>
        </w:rPr>
        <w:t>) jest zgodna z</w:t>
      </w:r>
      <w:r>
        <w:rPr/>
        <w:t> </w:t>
      </w:r>
      <w:r>
        <w:rPr>
          <w:szCs w:val="24"/>
        </w:rPr>
        <w:t>obowiązującymi przepisami.</w:t>
      </w:r>
      <w:r>
        <w:rPr/>
        <w:t xml:space="preserve"> </w:t>
      </w:r>
    </w:p>
    <w:p>
      <w:pPr>
        <w:pStyle w:val="Normal"/>
        <w:tabs>
          <w:tab w:val="clear" w:pos="708"/>
          <w:tab w:val="left" w:pos="540" w:leader="none"/>
        </w:tabs>
        <w:ind w:hanging="0" w:left="0"/>
        <w:rPr>
          <w:rFonts w:ascii="Times New Roman" w:hAnsi="Times New Roman"/>
        </w:rPr>
      </w:pPr>
      <w:r>
        <w:rPr>
          <w:szCs w:val="24"/>
        </w:rPr>
        <w:t>Szerokość drzwi w świetle, stanowiących wyjścia ewakuacyjne z pomieszczeń</w:t>
      </w:r>
      <w:r>
        <w:rPr/>
        <w:t xml:space="preserve"> </w:t>
      </w:r>
      <w:r>
        <w:rPr>
          <w:szCs w:val="24"/>
        </w:rPr>
        <w:t>w budynku (</w:t>
      </w:r>
      <w:r>
        <w:rPr>
          <w:i/>
          <w:szCs w:val="24"/>
        </w:rPr>
        <w:t>§ 239 ust. 1 rozporządzenia - w sprawie warunków technicznych, jakim powinny odpowiadać budynki i ich us</w:t>
      </w:r>
      <w:r>
        <w:rPr>
          <w:i/>
        </w:rPr>
        <w:t>ytuowania</w:t>
      </w:r>
      <w:r>
        <w:rPr>
          <w:i/>
          <w:szCs w:val="24"/>
        </w:rPr>
        <w:t xml:space="preserve"> obliczane proporcjonalnie do liczby osób mogących przebywać w nim równocześnie, przyjmując co najmniej 0,6 m na 100 osób, lecz nie mniej niż 0,9 m</w:t>
      </w:r>
      <w:r>
        <w:rPr>
          <w:szCs w:val="24"/>
        </w:rPr>
        <w:t>) jest zgodna z obowiązującymi przepisami. Drzwi wieloskrzydłowe, stanowiące wyjście ewakuacyjne</w:t>
      </w:r>
      <w:r>
        <w:rPr/>
        <w:t xml:space="preserve"> </w:t>
      </w:r>
      <w:r>
        <w:rPr>
          <w:szCs w:val="24"/>
        </w:rPr>
        <w:t xml:space="preserve">z pomieszczenia oraz na drodze ewakuacyjnej posiadają co najmniej jedno, nieblokowane skrzydło drzwiowe o szerokości nie mniejszej niż 0,9 m. </w:t>
      </w:r>
    </w:p>
    <w:p>
      <w:pPr>
        <w:pStyle w:val="Normal"/>
        <w:tabs>
          <w:tab w:val="clear" w:pos="708"/>
          <w:tab w:val="left" w:pos="540" w:leader="none"/>
        </w:tabs>
        <w:ind w:hanging="0" w:left="0"/>
        <w:rPr>
          <w:rFonts w:ascii="Times New Roman" w:hAnsi="Times New Roman"/>
          <w:szCs w:val="24"/>
        </w:rPr>
      </w:pPr>
      <w:r>
        <w:rPr>
          <w:szCs w:val="24"/>
        </w:rPr>
        <w:t xml:space="preserve">Z pomieszczeń przeznaczonych dla więcej niż 50 osób zapewniono dwoje drzwi ewakuacyjnych zlokalizowane w odległości przekraczającej 5 m. Przedmiotowe drzwi otwierają się na zewnątrz pomieszczenia.   </w:t>
      </w:r>
    </w:p>
    <w:p>
      <w:pPr>
        <w:pStyle w:val="Normal"/>
        <w:ind w:hanging="0" w:left="0"/>
        <w:rPr>
          <w:rFonts w:ascii="Times New Roman" w:hAnsi="Times New Roman"/>
        </w:rPr>
      </w:pPr>
      <w:r>
        <w:rPr/>
        <w:t xml:space="preserve">Szerokość poziomych dróg ewakuacyjnych należy obliczać proporcjonalnie do liczby osób mogących przebywać jednocześnie na danej kondygnacji budynku, przyjmując co najmniej 0,6 m na 100 osób, lecz nie mniej niż 1,4 m. Szerokość poziomej drogi ewakuacyjnej może być zmniejszona do 1,2 m, jeżeli jest ona przeznaczona do ewakuacji nie więcej niż 20 osób. Wysokość drogi ewakuacyjnej powinna wynosić co najmniej 2,2 m, natomiast wysokość lokalnego obniżenia 2m przy czym długość obniżonego odcinka drogi nie może być większa niż 1,5m. </w:t>
      </w:r>
    </w:p>
    <w:p>
      <w:pPr>
        <w:pStyle w:val="Normal"/>
        <w:ind w:hanging="0" w:left="0"/>
        <w:rPr>
          <w:rFonts w:ascii="Times New Roman" w:hAnsi="Times New Roman"/>
        </w:rPr>
      </w:pPr>
      <w:r>
        <w:rPr/>
        <w:t xml:space="preserve">Komunikację poziomą w budynku zapewniają korytarze na poszczególnych kondygnacjach, które łączą ze sobą klatki schodowe, a w poziomie parteru prowadzą do drzwi ewakuacyjnych. Korytarze w budynku o zróżnicowanych szerokościach od 2,34 m do 3,15 m z lokalnymi zawężeniami do szerokości 2,26 m i długości 0,47 m oraz 1,98 m i długości 0,44 m. Wysokość poszczególnych kondygnacji wahają się w zależności od segmentu oraz lokalizacji. Na poziomie kondygnacji podziemnej wysokość drogi ewakuacyjnej wynosi 2,56 m,  na poziomie parteru od 3,37 do 3,47 m na poziomie pierwszego piętra od 2,60 do 3,81 m na poziomie drugiego pietra wysokość poziomych dróg ewakuacyjnych wynosi 3,25 m. Szerokość korytarzy na wszystkich kondygnacjach zapewniają dużą swobodę w przypadku konieczności ewakuacji ludzi z budynku. Wysokość korytarzy na wszystkich kondygnacjach zapewnia, w sposób naturalny, w przypadku pojawienia się zadymienia na poziomych drogach ewakuacyjnych utrzymywania się zadymienia w górnych partiach dróg ewakuacji, w dłuższym okresie, co pozwala na bezpieczną ewakuację ludzi z budynku. Korytarz w segmencie </w:t>
      </w:r>
      <w:r>
        <w:rPr/>
        <w:t>zespołu szkolno-przedszkolnego</w:t>
      </w:r>
      <w:r>
        <w:rPr/>
        <w:t xml:space="preserve"> oraz sali gimnastycznej na poziomie pierwszej  kondygnacji nadziemnej nie został podzielony drzwiami dymoszczelnymi na odcinki o długości nieprzekraczającej 50 m.</w:t>
      </w:r>
    </w:p>
    <w:p>
      <w:pPr>
        <w:pStyle w:val="Normal"/>
        <w:tabs>
          <w:tab w:val="clear" w:pos="708"/>
          <w:tab w:val="left" w:pos="540" w:leader="none"/>
        </w:tabs>
        <w:ind w:hanging="0" w:left="0"/>
        <w:rPr>
          <w:rFonts w:ascii="Times New Roman" w:hAnsi="Times New Roman"/>
        </w:rPr>
      </w:pPr>
      <w:r>
        <w:rPr/>
        <w:t xml:space="preserve">Komunikację pionową w budynku zapewniają klatki schodowe. W skrzydle wschodnim budynku zawierającym salę sportową znajduje się klatka schodowa K1. Przedmiotowa klatka otwarta na kondygnacje i łączy ze sobą dwie kondygnacje nadziemne. Szerokości biegów klatki schodowej wynoszą 0,98m natomiast szerokość spocznika wynosi 1 m.  </w:t>
      </w:r>
    </w:p>
    <w:p>
      <w:pPr>
        <w:pStyle w:val="Normal"/>
        <w:tabs>
          <w:tab w:val="clear" w:pos="708"/>
          <w:tab w:val="left" w:pos="540" w:leader="none"/>
        </w:tabs>
        <w:ind w:hanging="0" w:left="0"/>
        <w:rPr>
          <w:rFonts w:ascii="Times New Roman" w:hAnsi="Times New Roman"/>
        </w:rPr>
      </w:pPr>
      <w:r>
        <w:rPr/>
        <w:t xml:space="preserve">W części centralnej zlokalizowano dwie klatki schodowe, przy czym pierwsza oznaczona jako K2 znajduje się w południowej części budynku natomiast klatka schodowa K3 w części północnej budynku. Klatka schodowa K2 łączy trzy kondygnacje nadziemne w budynku i jest otwartą na poszczególne piętra. Parametry techniczne biegów klatki schodowej K2 zmieniają się i mieszczą się w przedziale od 1,60 m do 1,62 m natomiast szerokości spoczników wynoszą 1,7 m.  </w:t>
      </w:r>
    </w:p>
    <w:p>
      <w:pPr>
        <w:pStyle w:val="Normal"/>
        <w:tabs>
          <w:tab w:val="clear" w:pos="708"/>
          <w:tab w:val="left" w:pos="540" w:leader="none"/>
        </w:tabs>
        <w:ind w:hanging="0" w:left="0"/>
        <w:rPr>
          <w:rFonts w:ascii="Times New Roman" w:hAnsi="Times New Roman"/>
        </w:rPr>
      </w:pPr>
      <w:r>
        <w:rPr/>
        <w:t xml:space="preserve">Klatka schodowa K3 położona jest w części północnej segmentu obejmującego </w:t>
      </w:r>
      <w:r>
        <w:rPr/>
        <w:t>zespołu szkolno-przedszkolnego</w:t>
      </w:r>
      <w:r>
        <w:rPr/>
        <w:t xml:space="preserve"> i umożliwia komunikację ze wszystkimi piętrami. Przedmiotowa klatka schodowa jest obudowane od poziomych dróg ewakuacyjny i zamknięta drzwiami nieposiadającymi odporności ogniowej.  Parametry techniczne biegów klatki schodowej K3 zmieniają się i mieszczą się w przedziale od 1,08 m na poziomie kondygnacji podziemnej do 1,26 m, szerokości spoczników wynoszą od 1,4 m do 2,59 m.  </w:t>
      </w:r>
    </w:p>
    <w:p>
      <w:pPr>
        <w:pStyle w:val="Normal"/>
        <w:tabs>
          <w:tab w:val="clear" w:pos="708"/>
          <w:tab w:val="left" w:pos="540" w:leader="none"/>
        </w:tabs>
        <w:ind w:hanging="0" w:left="0"/>
        <w:rPr>
          <w:rFonts w:ascii="Times New Roman" w:hAnsi="Times New Roman"/>
        </w:rPr>
      </w:pPr>
      <w:r>
        <w:rPr/>
        <w:t xml:space="preserve">W części obejmującej segment hali sportowej znajdują się schody umożliwiające komunikację między piętrami i antresolą. Przedmiotowe schody otwarte na poszczególne kondygnacje. Parametry techniczne biegów zmieniają się i mieszczą się w przedziale od 1,45 m do 2,00 m, szerokości spoczników wynoszą 1,51 m oraz 1,81 m.  </w:t>
      </w:r>
    </w:p>
    <w:p>
      <w:pPr>
        <w:pStyle w:val="Normal"/>
        <w:tabs>
          <w:tab w:val="clear" w:pos="708"/>
          <w:tab w:val="left" w:pos="540" w:leader="none"/>
        </w:tabs>
        <w:ind w:hanging="0" w:left="0"/>
        <w:rPr>
          <w:rFonts w:ascii="Times New Roman" w:hAnsi="Times New Roman"/>
        </w:rPr>
      </w:pPr>
      <w:r>
        <w:rPr/>
        <w:t xml:space="preserve">Klatki schodowe w budynku oznaczone jako K1 oraz K3 zakończone są wyjściem bezpośrednio na zewnątrz budynku poprzez drzwi otwierane na zewnątrz. Dla klatki K1 wyjście na zewnątrz zapewniają drzwi jednoskrzydłowe o szerokości 0,87 m natomiast z klatki K3 drzwi dwuskrzydłowe o szerokości 1,53 m i 1,94 m.  </w:t>
      </w:r>
    </w:p>
    <w:p>
      <w:pPr>
        <w:pStyle w:val="Normal"/>
        <w:ind w:hanging="0" w:left="0"/>
        <w:rPr>
          <w:rFonts w:ascii="Times New Roman" w:hAnsi="Times New Roman"/>
        </w:rPr>
      </w:pPr>
      <w:r>
        <w:rPr>
          <w:szCs w:val="24"/>
        </w:rPr>
        <w:t xml:space="preserve">Analiza przedstawionej dokumentacji oraz wizja lokalna na obiekcie wykazały, że obiekt z uwagi na charakter użytkowania jest obiektem użyteczności publicznej zaliczony do kategorii zagrożenia ludzi ZL III. Dopuszczalne długości dojścia ewakuacyjnego w strefie pożarowej ZL III mierzona wzdłuż osi drogi ewakuacyjnej, od wyjścia z pomieszczenia na tę drogę ewakuacyjną do wyjścia do innej strefy pożarowej lub na zewnątrz budynku, zgodnie z tabelą </w:t>
      </w:r>
      <w:r>
        <w:rPr>
          <w:i/>
          <w:szCs w:val="24"/>
        </w:rPr>
        <w:t>§ 256 ust. 3</w:t>
      </w:r>
      <w:r>
        <w:rPr/>
        <w:t xml:space="preserve"> rozporządzenia – w sprawie warunków technicznych, jakim powinny odpowiadać budynki i ich usytuowanie wynosi:</w:t>
      </w:r>
    </w:p>
    <w:p>
      <w:pPr>
        <w:pStyle w:val="Normal"/>
        <w:ind w:hanging="0" w:left="0"/>
        <w:rPr>
          <w:rFonts w:ascii="Times New Roman" w:hAnsi="Times New Roman"/>
        </w:rPr>
      </w:pPr>
      <w:r>
        <w:rPr/>
      </w:r>
    </w:p>
    <w:tbl>
      <w:tblPr>
        <w:tblW w:w="8575" w:type="dxa"/>
        <w:jc w:val="left"/>
        <w:tblInd w:w="-10" w:type="dxa"/>
        <w:tblLayout w:type="fixed"/>
        <w:tblCellMar>
          <w:top w:w="60" w:type="dxa"/>
          <w:left w:w="60" w:type="dxa"/>
          <w:bottom w:w="60" w:type="dxa"/>
          <w:right w:w="60" w:type="dxa"/>
        </w:tblCellMar>
      </w:tblPr>
      <w:tblGrid>
        <w:gridCol w:w="3850"/>
        <w:gridCol w:w="2520"/>
        <w:gridCol w:w="2205"/>
      </w:tblGrid>
      <w:tr>
        <w:trPr>
          <w:cantSplit w:val="true"/>
        </w:trPr>
        <w:tc>
          <w:tcPr>
            <w:tcW w:w="385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b/>
                <w:sz w:val="22"/>
              </w:rPr>
            </w:pPr>
            <w:r>
              <w:rPr>
                <w:b/>
                <w:sz w:val="22"/>
              </w:rPr>
              <w:t>Rodzaj strefy pożarowej</w:t>
            </w:r>
          </w:p>
        </w:tc>
        <w:tc>
          <w:tcPr>
            <w:tcW w:w="4725"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b/>
                <w:sz w:val="22"/>
              </w:rPr>
            </w:pPr>
            <w:r>
              <w:rPr>
                <w:b/>
                <w:sz w:val="22"/>
              </w:rPr>
              <w:t>Długość dojścia w m</w:t>
            </w:r>
          </w:p>
        </w:tc>
      </w:tr>
      <w:tr>
        <w:trPr>
          <w:cantSplit w:val="true"/>
        </w:trPr>
        <w:tc>
          <w:tcPr>
            <w:tcW w:w="385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bidi w:val="0"/>
              <w:spacing w:lineRule="auto" w:line="276" w:before="0" w:after="200"/>
              <w:ind w:hanging="0" w:left="0"/>
              <w:rPr/>
            </w:pPr>
            <w:r>
              <w:rPr/>
            </w:r>
          </w:p>
        </w:tc>
        <w:tc>
          <w:tcPr>
            <w:tcW w:w="2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b/>
                <w:sz w:val="22"/>
              </w:rPr>
            </w:pPr>
            <w:r>
              <w:rPr>
                <w:b/>
                <w:sz w:val="22"/>
              </w:rPr>
              <w:t>przy jednym dojściu</w:t>
            </w:r>
          </w:p>
        </w:tc>
        <w:tc>
          <w:tcPr>
            <w:tcW w:w="22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rPr>
            </w:pPr>
            <w:r>
              <w:rPr>
                <w:b/>
                <w:sz w:val="22"/>
              </w:rPr>
              <w:t>przy co najmniej 2 dojściach</w:t>
            </w:r>
            <w:r>
              <w:rPr>
                <w:b/>
                <w:sz w:val="22"/>
                <w:vertAlign w:val="superscript"/>
              </w:rPr>
              <w:t>1)</w:t>
            </w:r>
          </w:p>
        </w:tc>
      </w:tr>
      <w:tr>
        <w:trPr>
          <w:trHeight w:val="221" w:hRule="atLeast"/>
        </w:trPr>
        <w:tc>
          <w:tcPr>
            <w:tcW w:w="3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sz w:val="22"/>
              </w:rPr>
            </w:pPr>
            <w:r>
              <w:rPr>
                <w:sz w:val="22"/>
              </w:rPr>
              <w:t>1.</w:t>
            </w:r>
          </w:p>
        </w:tc>
        <w:tc>
          <w:tcPr>
            <w:tcW w:w="2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sz w:val="22"/>
              </w:rPr>
            </w:pPr>
            <w:r>
              <w:rPr>
                <w:sz w:val="22"/>
              </w:rPr>
              <w:t>2.</w:t>
            </w:r>
          </w:p>
        </w:tc>
        <w:tc>
          <w:tcPr>
            <w:tcW w:w="22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sz w:val="22"/>
              </w:rPr>
            </w:pPr>
            <w:r>
              <w:rPr>
                <w:sz w:val="22"/>
              </w:rPr>
              <w:t>3.</w:t>
            </w:r>
          </w:p>
        </w:tc>
      </w:tr>
      <w:tr>
        <w:trPr/>
        <w:tc>
          <w:tcPr>
            <w:tcW w:w="3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b/>
                <w:bCs/>
                <w:sz w:val="22"/>
              </w:rPr>
            </w:pPr>
            <w:r>
              <w:rPr>
                <w:b/>
                <w:bCs/>
                <w:sz w:val="22"/>
              </w:rPr>
              <w:t>ZL III</w:t>
            </w:r>
          </w:p>
        </w:tc>
        <w:tc>
          <w:tcPr>
            <w:tcW w:w="2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rPr>
            </w:pPr>
            <w:r>
              <w:rPr>
                <w:b/>
                <w:sz w:val="22"/>
              </w:rPr>
              <w:t>30</w:t>
            </w:r>
            <w:r>
              <w:rPr>
                <w:b/>
                <w:sz w:val="22"/>
                <w:vertAlign w:val="superscript"/>
              </w:rPr>
              <w:t>2)</w:t>
            </w:r>
          </w:p>
        </w:tc>
        <w:tc>
          <w:tcPr>
            <w:tcW w:w="22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b/>
                <w:sz w:val="22"/>
                <w:lang w:val="de-DE"/>
              </w:rPr>
            </w:pPr>
            <w:r>
              <w:rPr>
                <w:b/>
                <w:sz w:val="22"/>
                <w:lang w:val="de-DE"/>
              </w:rPr>
              <w:t>60</w:t>
            </w:r>
          </w:p>
        </w:tc>
      </w:tr>
      <w:tr>
        <w:trPr/>
        <w:tc>
          <w:tcPr>
            <w:tcW w:w="3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b/>
                <w:bCs/>
                <w:sz w:val="22"/>
              </w:rPr>
            </w:pPr>
            <w:r>
              <w:rPr>
                <w:b/>
                <w:bCs/>
                <w:sz w:val="22"/>
              </w:rPr>
              <w:t>ZL II</w:t>
            </w:r>
          </w:p>
        </w:tc>
        <w:tc>
          <w:tcPr>
            <w:tcW w:w="2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hanging="0" w:left="0" w:right="0"/>
              <w:jc w:val="center"/>
              <w:rPr>
                <w:rFonts w:ascii="Times New Roman" w:hAnsi="Times New Roman"/>
                <w:b/>
                <w:sz w:val="22"/>
              </w:rPr>
            </w:pPr>
            <w:r>
              <w:rPr>
                <w:b/>
                <w:sz w:val="22"/>
              </w:rPr>
              <w:t>10</w:t>
            </w:r>
          </w:p>
        </w:tc>
        <w:tc>
          <w:tcPr>
            <w:tcW w:w="22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200"/>
              <w:ind w:hanging="0" w:left="0" w:right="0"/>
              <w:jc w:val="center"/>
              <w:rPr>
                <w:rFonts w:ascii="Times New Roman" w:hAnsi="Times New Roman"/>
                <w:b/>
                <w:sz w:val="22"/>
                <w:lang w:val="de-DE"/>
              </w:rPr>
            </w:pPr>
            <w:r>
              <w:rPr>
                <w:b/>
                <w:sz w:val="22"/>
                <w:lang w:val="de-DE"/>
              </w:rPr>
            </w:r>
          </w:p>
        </w:tc>
      </w:tr>
      <w:tr>
        <w:trPr/>
        <w:tc>
          <w:tcPr>
            <w:tcW w:w="8575" w:type="dxa"/>
            <w:gridSpan w:val="3"/>
            <w:tcBorders>
              <w:top w:val="single" w:sz="4" w:space="0" w:color="000000"/>
              <w:left w:val="single" w:sz="4" w:space="0" w:color="000000"/>
              <w:bottom w:val="single" w:sz="4" w:space="0" w:color="000000"/>
              <w:right w:val="single" w:sz="4" w:space="0" w:color="000000"/>
            </w:tcBorders>
            <w:tcMar>
              <w:top w:w="75" w:type="dxa"/>
              <w:left w:w="75" w:type="dxa"/>
              <w:bottom w:w="75" w:type="dxa"/>
              <w:right w:w="75" w:type="dxa"/>
            </w:tcMar>
            <w:vAlign w:val="center"/>
          </w:tcPr>
          <w:p>
            <w:pPr>
              <w:pStyle w:val="Normal"/>
              <w:widowControl w:val="false"/>
              <w:ind w:hanging="0" w:left="0" w:right="0"/>
              <w:textAlignment w:val="top"/>
              <w:rPr>
                <w:rFonts w:ascii="Times New Roman" w:hAnsi="Times New Roman"/>
              </w:rPr>
            </w:pPr>
            <w:r>
              <w:rPr>
                <w:sz w:val="20"/>
                <w:szCs w:val="20"/>
                <w:vertAlign w:val="superscript"/>
              </w:rPr>
              <w:t>1)</w:t>
            </w:r>
            <w:r>
              <w:rPr>
                <w:sz w:val="20"/>
                <w:szCs w:val="20"/>
              </w:rPr>
              <w:t>Dla dojścia najkrótszego, przy czym dopuszcza się dla drugiego dojścia długość większą o 100 % od najkrótszego. Dojścia te nie mogą się pokrywać ani krzyżować.</w:t>
            </w:r>
          </w:p>
          <w:p>
            <w:pPr>
              <w:pStyle w:val="Normal"/>
              <w:widowControl w:val="false"/>
              <w:spacing w:before="0" w:after="200"/>
              <w:ind w:hanging="0" w:left="0" w:right="0"/>
              <w:textAlignment w:val="top"/>
              <w:rPr>
                <w:rFonts w:ascii="Times New Roman" w:hAnsi="Times New Roman"/>
              </w:rPr>
            </w:pPr>
            <w:r>
              <w:rPr>
                <w:sz w:val="20"/>
                <w:szCs w:val="20"/>
                <w:vertAlign w:val="superscript"/>
              </w:rPr>
              <w:t>2)</w:t>
            </w:r>
            <w:r>
              <w:rPr>
                <w:sz w:val="20"/>
                <w:szCs w:val="20"/>
              </w:rPr>
              <w:t>W tym nie więcej niż 20 m na poziomej drodze ewakuacyjnej.</w:t>
            </w:r>
          </w:p>
        </w:tc>
      </w:tr>
    </w:tbl>
    <w:p>
      <w:pPr>
        <w:pStyle w:val="Normal"/>
        <w:ind w:hanging="0" w:left="0" w:right="0"/>
        <w:rPr>
          <w:rFonts w:ascii="Times New Roman" w:hAnsi="Times New Roman"/>
        </w:rPr>
      </w:pPr>
      <w:r>
        <w:rPr>
          <w:b/>
        </w:rPr>
        <w:t>UWAGA: Długość dojścia dla budynku istniejącego powiększona o 100% od parametrów określonych w przepisów techniczno-budowlanych</w:t>
      </w:r>
      <w:r>
        <w:rPr/>
        <w:t>.</w:t>
      </w:r>
    </w:p>
    <w:p>
      <w:pPr>
        <w:pStyle w:val="Normal"/>
        <w:ind w:hanging="0" w:left="0"/>
        <w:rPr>
          <w:rFonts w:ascii="Times New Roman" w:hAnsi="Times New Roman"/>
        </w:rPr>
      </w:pPr>
      <w:r>
        <w:rPr/>
        <w:t xml:space="preserve">Przedmiotowe długość dojść ewakuacyjnych przy zapewnienie jednego lub dwóch dojść ewakuacyjnych nie przekraczają dopuszczalnych limitów określonych w przepisach techniczno-budowlanych oraz przeciwpożarowych.  </w:t>
      </w:r>
    </w:p>
    <w:p>
      <w:pPr>
        <w:pStyle w:val="Heading2"/>
        <w:rPr>
          <w:rFonts w:ascii="Times New Roman" w:hAnsi="Times New Roman"/>
          <w:color w:val="000000"/>
          <w:lang w:val="pl-PL"/>
        </w:rPr>
      </w:pPr>
      <w:bookmarkStart w:id="18" w:name="__RefHeading___Toc411372035"/>
      <w:bookmarkEnd w:id="18"/>
      <w:r>
        <w:rPr>
          <w:color w:val="000000"/>
          <w:lang w:val="pl-PL"/>
        </w:rPr>
        <w:t>Wymagania przeciwpożarowe dla elementów wykończenia wnętrz</w:t>
      </w:r>
    </w:p>
    <w:p>
      <w:pPr>
        <w:pStyle w:val="Normal"/>
        <w:ind w:hanging="0" w:left="0"/>
        <w:rPr>
          <w:rFonts w:ascii="Times New Roman" w:hAnsi="Times New Roman"/>
        </w:rPr>
      </w:pPr>
      <w:r>
        <w:rPr/>
        <w:t xml:space="preserve">Stosowanie do wykończenia wnętrz materiałów łatwo zapalnych, których produkty rozkładu termicznego są bardzo toksyczne lub intensywnie dymiące jest zabronione, Na drogach komunikacji ogólnej, służących celom ewakuacji, zabronione jest stosowanie materiałów i wyrobów budowlanych łatwo zapalnych. </w:t>
      </w:r>
    </w:p>
    <w:p>
      <w:pPr>
        <w:pStyle w:val="Normal"/>
        <w:ind w:hanging="0" w:left="0"/>
        <w:rPr>
          <w:rFonts w:ascii="Times New Roman" w:hAnsi="Times New Roman"/>
        </w:rPr>
      </w:pPr>
      <w:r>
        <w:rPr/>
        <w:t xml:space="preserve">W przedmiotowym budynku w pomieszczeniach nie zastosowano materiałów łatwo zapalnych, intensywnie dymiących i odpadających pod wpływem ognia. </w:t>
      </w:r>
    </w:p>
    <w:p>
      <w:pPr>
        <w:pStyle w:val="Heading2"/>
        <w:rPr>
          <w:rFonts w:ascii="Times New Roman" w:hAnsi="Times New Roman"/>
          <w:color w:val="000000"/>
        </w:rPr>
      </w:pPr>
      <w:bookmarkStart w:id="19" w:name="__RefHeading___Toc411372036"/>
      <w:bookmarkEnd w:id="19"/>
      <w:r>
        <w:rPr>
          <w:color w:val="000000"/>
        </w:rPr>
        <w:t>Sposób zabezpieczenia przeciwpożarowego instalacji użytkowych</w:t>
      </w:r>
    </w:p>
    <w:p>
      <w:pPr>
        <w:pStyle w:val="Normal"/>
        <w:tabs>
          <w:tab w:val="clear" w:pos="708"/>
          <w:tab w:val="left" w:pos="540" w:leader="none"/>
        </w:tabs>
        <w:ind w:hanging="0" w:left="0"/>
        <w:rPr>
          <w:rFonts w:ascii="Times New Roman" w:hAnsi="Times New Roman"/>
        </w:rPr>
      </w:pPr>
      <w:r>
        <w:rPr>
          <w:szCs w:val="24"/>
        </w:rPr>
        <w:t xml:space="preserve">Przeciwpożarowy wyłącznik prądu – zgodnie z </w:t>
      </w:r>
      <w:r>
        <w:rPr>
          <w:i/>
          <w:szCs w:val="24"/>
        </w:rPr>
        <w:t>§ 183 ust. 2</w:t>
      </w:r>
      <w:r>
        <w:rPr>
          <w:szCs w:val="24"/>
        </w:rPr>
        <w:t xml:space="preserve"> rozporządzenia – w sprawie warunków technicznych, jakim powinny odpowiadać budynki i ich usytuowanie, odcinający dopływ prądu do wszystkich obwodów, z wyjątkiem obwodów zasilających instalacje i urządzenia, których funkcjonowanie jest niezbędne podczas pożaru, stosuje się w strefach pożarowych o kubaturze przekraczającej 1000 m</w:t>
      </w:r>
      <w:r>
        <w:rPr>
          <w:szCs w:val="24"/>
          <w:vertAlign w:val="superscript"/>
        </w:rPr>
        <w:t>3</w:t>
      </w:r>
      <w:r>
        <w:rPr>
          <w:szCs w:val="24"/>
        </w:rPr>
        <w:t xml:space="preserve"> lub zawierających strefy zagrożone wybuchem. </w:t>
      </w:r>
    </w:p>
    <w:p>
      <w:pPr>
        <w:pStyle w:val="Normal"/>
        <w:tabs>
          <w:tab w:val="clear" w:pos="708"/>
          <w:tab w:val="left" w:pos="540" w:leader="none"/>
        </w:tabs>
        <w:ind w:hanging="0" w:left="0"/>
        <w:rPr>
          <w:rFonts w:ascii="Times New Roman" w:hAnsi="Times New Roman"/>
        </w:rPr>
      </w:pPr>
      <w:r>
        <w:rPr>
          <w:szCs w:val="24"/>
        </w:rPr>
        <w:t>Budynek Zespołu Szkolno-Przedszkolny wyposażonych został w </w:t>
      </w:r>
      <w:r>
        <w:rPr>
          <w:b/>
          <w:szCs w:val="24"/>
        </w:rPr>
        <w:t>przeciwpożarowy wyłącznik prądu</w:t>
      </w:r>
      <w:r>
        <w:rPr>
          <w:szCs w:val="24"/>
        </w:rPr>
        <w:t xml:space="preserve"> zlokalizowany przy głównym wejściu do budynku. </w:t>
      </w:r>
    </w:p>
    <w:p>
      <w:pPr>
        <w:pStyle w:val="Normal"/>
        <w:ind w:hanging="0" w:left="0"/>
        <w:rPr>
          <w:rFonts w:ascii="Times New Roman" w:hAnsi="Times New Roman"/>
        </w:rPr>
      </w:pPr>
      <w:r>
        <w:rPr/>
        <w:t>Instalacja gazowa została wyposażona w kurek główny umożliwiający odcięcie dopływu gazu. Kurek zainstalowano na zewnątrz w wentylowanej szafce z materiału trudno zapalnego w ścianie.</w:t>
      </w:r>
    </w:p>
    <w:p>
      <w:pPr>
        <w:pStyle w:val="Normal"/>
        <w:ind w:hanging="0" w:left="0"/>
        <w:rPr>
          <w:rFonts w:ascii="Times New Roman" w:hAnsi="Times New Roman"/>
        </w:rPr>
      </w:pPr>
      <w:r>
        <w:rPr/>
        <w:t>Kotłownia zlokalizowana jest w pomieszczeniu technicznym nieprzeznaczonym na stały pobyt ludzi. Kotłownię wyposażono w urządzenia sygnalizacyjno-odcinające dopływ gazu do budynku. Zawór odcinający dopływ gazu do budynku zainstalowano poza budynkiem miedzy kurkiem głównym, a wprowadzeniem przewodu do budynku.</w:t>
      </w:r>
    </w:p>
    <w:p>
      <w:pPr>
        <w:pStyle w:val="Heading2"/>
        <w:rPr>
          <w:rFonts w:ascii="Times New Roman" w:hAnsi="Times New Roman"/>
        </w:rPr>
      </w:pPr>
      <w:bookmarkStart w:id="20" w:name="__RefHeading___Toc411372037"/>
      <w:bookmarkEnd w:id="20"/>
      <w:r>
        <w:rPr/>
        <w:t>Dobór urządzeń przeciwpożarowych w budynku</w:t>
      </w:r>
    </w:p>
    <w:p>
      <w:pPr>
        <w:pStyle w:val="Normal"/>
        <w:tabs>
          <w:tab w:val="clear" w:pos="708"/>
          <w:tab w:val="left" w:pos="540" w:leader="none"/>
        </w:tabs>
        <w:ind w:hanging="0" w:left="0"/>
        <w:rPr>
          <w:rFonts w:ascii="Times New Roman" w:hAnsi="Times New Roman"/>
        </w:rPr>
      </w:pPr>
      <w:r>
        <w:rPr>
          <w:szCs w:val="24"/>
        </w:rPr>
        <w:t xml:space="preserve">Zgodnie z </w:t>
      </w:r>
      <w:r>
        <w:rPr>
          <w:i/>
          <w:szCs w:val="24"/>
        </w:rPr>
        <w:t>§ 19 ust. 1</w:t>
      </w:r>
      <w:r>
        <w:rPr>
          <w:szCs w:val="24"/>
        </w:rPr>
        <w:t xml:space="preserve"> rozporządzenia – w sprawie ochrony przeciwpożarowej budynków, innych obiektów budowlanych i terenów budynki średniowysokie zaliczone do kategorii ZL II i ZL III zagrożenia ludzi powinny być wyposażone w hydranty wewnętrzne 25 z wężem półsztywnym. Hydranty wewnętrzne powinny spełniać wymagania Polskich Norm dotyczących tych urządzeń, będących odpowiednikami norm europejskich. Hydranty wewnętrzne 25 powinny być stosowane na każdej kondygnacji budynku niskiego o powierzchni przekraczającej 1000 m</w:t>
      </w:r>
      <w:r>
        <w:rPr>
          <w:szCs w:val="24"/>
          <w:vertAlign w:val="superscript"/>
        </w:rPr>
        <w:t>2</w:t>
      </w:r>
      <w:r>
        <w:rPr>
          <w:szCs w:val="24"/>
        </w:rPr>
        <w:t>, zakwalifikowanej do kategorii ZL III zagrożenia ludzi. Hydranty powinny być umieszczone przy drogach komunikacji ogólnej, a w szczególności:</w:t>
      </w:r>
    </w:p>
    <w:p>
      <w:pPr>
        <w:pStyle w:val="Normal"/>
        <w:numPr>
          <w:ilvl w:val="0"/>
          <w:numId w:val="9"/>
        </w:numPr>
        <w:tabs>
          <w:tab w:val="clear" w:pos="708"/>
          <w:tab w:val="left" w:pos="540" w:leader="none"/>
        </w:tabs>
        <w:rPr/>
      </w:pPr>
      <w:r>
        <w:rPr>
          <w:szCs w:val="24"/>
        </w:rPr>
        <w:t>przy wejściach do budynku i klatek schodowych na każdej kondygnacji budynku,</w:t>
      </w:r>
    </w:p>
    <w:p>
      <w:pPr>
        <w:pStyle w:val="Normal"/>
        <w:numPr>
          <w:ilvl w:val="0"/>
          <w:numId w:val="9"/>
        </w:numPr>
        <w:tabs>
          <w:tab w:val="clear" w:pos="708"/>
          <w:tab w:val="left" w:pos="540" w:leader="none"/>
        </w:tabs>
        <w:rPr/>
      </w:pPr>
      <w:r>
        <w:rPr>
          <w:szCs w:val="24"/>
        </w:rPr>
        <w:t>w przejściach i na korytarzach,</w:t>
      </w:r>
    </w:p>
    <w:p>
      <w:pPr>
        <w:pStyle w:val="Normal"/>
        <w:numPr>
          <w:ilvl w:val="0"/>
          <w:numId w:val="9"/>
        </w:numPr>
        <w:tabs>
          <w:tab w:val="clear" w:pos="708"/>
          <w:tab w:val="left" w:pos="540" w:leader="none"/>
        </w:tabs>
        <w:rPr>
          <w:rFonts w:ascii="Times New Roman" w:hAnsi="Times New Roman"/>
          <w:szCs w:val="24"/>
        </w:rPr>
      </w:pPr>
      <w:r>
        <w:rPr>
          <w:szCs w:val="24"/>
        </w:rPr>
        <w:t>przy wejściach na poddasza.</w:t>
      </w:r>
    </w:p>
    <w:p>
      <w:pPr>
        <w:pStyle w:val="Normal"/>
        <w:tabs>
          <w:tab w:val="clear" w:pos="708"/>
          <w:tab w:val="left" w:pos="540" w:leader="none"/>
        </w:tabs>
        <w:ind w:hanging="0" w:left="0"/>
        <w:rPr>
          <w:rFonts w:ascii="Times New Roman" w:hAnsi="Times New Roman"/>
        </w:rPr>
      </w:pPr>
      <w:r>
        <w:rPr>
          <w:szCs w:val="24"/>
        </w:rPr>
        <w:t>Zasięg hydrantów 25 w poziomie powinien obejmujących swoim zasięgiem całą chronioną powierzchnię budynku z uwzględnieniem długości odcinka węza hydratu wewnętrznego zgodnie z Polską Normą PN-EN, efektywnego zasięgu rzutu prądów gaśniczych w strefach pożarowych zakwalifikowanych do kategorii zagrożenia ludzi ZL II i ZLIII, w budynkach o więcej niż jednej kondygnacji nadziemnej – przyjmowanego dla prądów rozproszonych stożkowych – 3m. Zawory odcinające hydrantów powinny być umieszczone na wysokości 1,35m  od poziomu podłogi. Minimalna wydajności poboru wody mierzona na wylocie prądownicy powinna wynosić dla hydrantu 25 – 1 dm</w:t>
      </w:r>
      <w:r>
        <w:rPr>
          <w:szCs w:val="24"/>
          <w:vertAlign w:val="superscript"/>
        </w:rPr>
        <w:t>3</w:t>
      </w:r>
      <w:r>
        <w:rPr>
          <w:szCs w:val="24"/>
        </w:rPr>
        <w:t xml:space="preserve">/s. Ciśnienie na zaworze odcinającym hydrantu wewnętrznego powinno zapewniać wydajność określoną dla danego rodzaju hydrantu z uwzględnieniem zastosowanej średnicy dyszy prądownicy i być nie niższe niż 0,2MPa.  </w:t>
      </w:r>
    </w:p>
    <w:p>
      <w:pPr>
        <w:pStyle w:val="Heading2"/>
        <w:ind w:hanging="426" w:left="426" w:right="0"/>
        <w:rPr>
          <w:rFonts w:ascii="Times New Roman" w:hAnsi="Times New Roman"/>
          <w:color w:val="000000"/>
        </w:rPr>
      </w:pPr>
      <w:bookmarkStart w:id="21" w:name="__RefHeading___Toc411372038"/>
      <w:bookmarkEnd w:id="21"/>
      <w:r>
        <w:rPr>
          <w:color w:val="000000"/>
        </w:rPr>
        <w:t>Parametry pożarowe występujących substancji palnych oraz przewidywana gęstość obciążenia ogniowego;</w:t>
      </w:r>
    </w:p>
    <w:p>
      <w:pPr>
        <w:pStyle w:val="Normal"/>
        <w:ind w:hanging="0" w:left="0"/>
        <w:rPr>
          <w:rFonts w:ascii="Times New Roman" w:hAnsi="Times New Roman"/>
          <w:szCs w:val="24"/>
        </w:rPr>
      </w:pPr>
      <w:r>
        <w:rPr>
          <w:szCs w:val="24"/>
        </w:rPr>
        <w:t>Nie obliczono gęstości obciążenia ogniowego strefy pożarowej, z uwagi na zaliczenie do kategorii zagrożenia ludzi ZL II i ZL III.</w:t>
      </w:r>
    </w:p>
    <w:p>
      <w:pPr>
        <w:pStyle w:val="Normal"/>
        <w:tabs>
          <w:tab w:val="clear" w:pos="708"/>
          <w:tab w:val="left" w:pos="540" w:leader="none"/>
        </w:tabs>
        <w:ind w:firstLine="540" w:left="0" w:right="0"/>
        <w:rPr>
          <w:rFonts w:ascii="Times New Roman" w:hAnsi="Times New Roman"/>
          <w:szCs w:val="24"/>
        </w:rPr>
      </w:pPr>
      <w:r>
        <w:rPr>
          <w:szCs w:val="24"/>
        </w:rPr>
        <w:t xml:space="preserve">W obiekcie nie będą przechowywane materiały niebezpieczne pożarowo w rozumieniu § 2 ust. 1 pkt 1 rozporządzenia - w sprawie ochrony przeciwpożarowej budynków, innych obiektów budowlanych i terenów. </w:t>
      </w:r>
    </w:p>
    <w:p>
      <w:pPr>
        <w:pStyle w:val="Normal"/>
        <w:tabs>
          <w:tab w:val="clear" w:pos="708"/>
          <w:tab w:val="left" w:pos="540" w:leader="none"/>
        </w:tabs>
        <w:ind w:firstLine="180" w:left="360" w:right="0"/>
        <w:rPr>
          <w:rFonts w:ascii="Times New Roman" w:hAnsi="Times New Roman"/>
          <w:szCs w:val="24"/>
        </w:rPr>
      </w:pPr>
      <w:r>
        <w:rPr>
          <w:szCs w:val="24"/>
        </w:rPr>
        <w:t>Materiały niebezpieczne pożarowo to:</w:t>
      </w:r>
    </w:p>
    <w:p>
      <w:pPr>
        <w:pStyle w:val="Normal"/>
        <w:numPr>
          <w:ilvl w:val="0"/>
          <w:numId w:val="10"/>
        </w:numPr>
        <w:tabs>
          <w:tab w:val="clear" w:pos="708"/>
          <w:tab w:val="left" w:pos="540" w:leader="none"/>
          <w:tab w:val="left" w:pos="900" w:leader="none"/>
        </w:tabs>
        <w:ind w:hanging="540" w:left="1080" w:right="0"/>
        <w:rPr/>
      </w:pPr>
      <w:r>
        <w:rPr>
          <w:szCs w:val="24"/>
        </w:rPr>
        <w:t>gazy palne,</w:t>
      </w:r>
    </w:p>
    <w:p>
      <w:pPr>
        <w:pStyle w:val="Normal"/>
        <w:numPr>
          <w:ilvl w:val="0"/>
          <w:numId w:val="10"/>
        </w:numPr>
        <w:tabs>
          <w:tab w:val="clear" w:pos="708"/>
          <w:tab w:val="left" w:pos="540" w:leader="none"/>
          <w:tab w:val="left" w:pos="900" w:leader="none"/>
        </w:tabs>
        <w:ind w:hanging="360" w:left="900" w:right="0"/>
        <w:rPr/>
      </w:pPr>
      <w:r>
        <w:rPr>
          <w:szCs w:val="24"/>
        </w:rPr>
        <w:t xml:space="preserve">ciecze palne o temperaturze zapłonu poniżej 328,15K (55 </w:t>
      </w:r>
      <w:r>
        <w:rPr>
          <w:szCs w:val="24"/>
          <w:vertAlign w:val="superscript"/>
        </w:rPr>
        <w:t>o</w:t>
      </w:r>
      <w:r>
        <w:rPr>
          <w:szCs w:val="24"/>
        </w:rPr>
        <w:t>C),</w:t>
      </w:r>
    </w:p>
    <w:p>
      <w:pPr>
        <w:pStyle w:val="Normal"/>
        <w:numPr>
          <w:ilvl w:val="0"/>
          <w:numId w:val="10"/>
        </w:numPr>
        <w:tabs>
          <w:tab w:val="clear" w:pos="708"/>
          <w:tab w:val="left" w:pos="540" w:leader="none"/>
          <w:tab w:val="left" w:pos="900" w:leader="none"/>
        </w:tabs>
        <w:ind w:hanging="360" w:left="900" w:right="0"/>
        <w:rPr/>
      </w:pPr>
      <w:r>
        <w:rPr>
          <w:szCs w:val="24"/>
        </w:rPr>
        <w:t>materiały wytwarzające w zetknięciu z wodą gazy palne,</w:t>
      </w:r>
    </w:p>
    <w:p>
      <w:pPr>
        <w:pStyle w:val="Normal"/>
        <w:numPr>
          <w:ilvl w:val="0"/>
          <w:numId w:val="10"/>
        </w:numPr>
        <w:tabs>
          <w:tab w:val="clear" w:pos="708"/>
          <w:tab w:val="left" w:pos="540" w:leader="none"/>
          <w:tab w:val="left" w:pos="900" w:leader="none"/>
        </w:tabs>
        <w:ind w:hanging="360" w:left="900" w:right="0"/>
        <w:rPr/>
      </w:pPr>
      <w:r>
        <w:rPr>
          <w:szCs w:val="24"/>
        </w:rPr>
        <w:t>materiały zapalające się samorzutnie na powietrzu,</w:t>
      </w:r>
    </w:p>
    <w:p>
      <w:pPr>
        <w:pStyle w:val="Normal"/>
        <w:numPr>
          <w:ilvl w:val="0"/>
          <w:numId w:val="10"/>
        </w:numPr>
        <w:tabs>
          <w:tab w:val="clear" w:pos="708"/>
          <w:tab w:val="left" w:pos="540" w:leader="none"/>
          <w:tab w:val="left" w:pos="900" w:leader="none"/>
        </w:tabs>
        <w:ind w:hanging="360" w:left="900" w:right="0"/>
        <w:rPr/>
      </w:pPr>
      <w:r>
        <w:rPr>
          <w:szCs w:val="24"/>
        </w:rPr>
        <w:t>materiały wybuchowe i pirotechniczne,</w:t>
      </w:r>
    </w:p>
    <w:p>
      <w:pPr>
        <w:pStyle w:val="Normal"/>
        <w:numPr>
          <w:ilvl w:val="0"/>
          <w:numId w:val="10"/>
        </w:numPr>
        <w:tabs>
          <w:tab w:val="clear" w:pos="708"/>
          <w:tab w:val="left" w:pos="540" w:leader="none"/>
          <w:tab w:val="left" w:pos="900" w:leader="none"/>
        </w:tabs>
        <w:ind w:hanging="360" w:left="900" w:right="0"/>
        <w:rPr/>
      </w:pPr>
      <w:r>
        <w:rPr>
          <w:szCs w:val="24"/>
        </w:rPr>
        <w:t>materiały ulegające samorzutnemu rozkładowi lub polimeryzacji,</w:t>
      </w:r>
    </w:p>
    <w:p>
      <w:pPr>
        <w:pStyle w:val="Normal"/>
        <w:numPr>
          <w:ilvl w:val="0"/>
          <w:numId w:val="10"/>
        </w:numPr>
        <w:tabs>
          <w:tab w:val="clear" w:pos="708"/>
          <w:tab w:val="left" w:pos="540" w:leader="none"/>
          <w:tab w:val="left" w:pos="900" w:leader="none"/>
        </w:tabs>
        <w:ind w:hanging="360" w:left="900" w:right="0"/>
        <w:rPr/>
      </w:pPr>
      <w:r>
        <w:rPr>
          <w:szCs w:val="24"/>
        </w:rPr>
        <w:t>materiały mające skłonność do samozapalenia,</w:t>
      </w:r>
    </w:p>
    <w:p>
      <w:pPr>
        <w:pStyle w:val="Normal"/>
        <w:numPr>
          <w:ilvl w:val="0"/>
          <w:numId w:val="10"/>
        </w:numPr>
        <w:tabs>
          <w:tab w:val="clear" w:pos="708"/>
          <w:tab w:val="left" w:pos="540" w:leader="none"/>
          <w:tab w:val="left" w:pos="900" w:leader="none"/>
        </w:tabs>
        <w:ind w:hanging="360" w:left="900" w:right="0"/>
        <w:rPr>
          <w:rFonts w:ascii="Times New Roman" w:hAnsi="Times New Roman"/>
          <w:szCs w:val="24"/>
        </w:rPr>
      </w:pPr>
      <w:r>
        <w:rPr>
          <w:szCs w:val="24"/>
        </w:rPr>
        <w:t>materiały inne niż wymienione w lit. a – g, jeśli sposób ich składowania, przetwarzania lub innego wykorzystania może spowodować powstanie pożaru.</w:t>
      </w:r>
    </w:p>
    <w:p>
      <w:pPr>
        <w:pStyle w:val="Normal"/>
        <w:ind w:hanging="0" w:left="0"/>
        <w:rPr>
          <w:rFonts w:ascii="Times New Roman" w:hAnsi="Times New Roman"/>
        </w:rPr>
      </w:pPr>
      <w:r>
        <w:rPr/>
        <w:t>Występujące w przedmiotowym budynku substancje palne to typowe elementy wyposażenia wnętrz (drewniane i z tworzyw sztucznych).</w:t>
      </w:r>
    </w:p>
    <w:p>
      <w:pPr>
        <w:pStyle w:val="Heading2"/>
        <w:rPr>
          <w:rFonts w:ascii="Times New Roman" w:hAnsi="Times New Roman"/>
          <w:color w:val="000000"/>
        </w:rPr>
      </w:pPr>
      <w:bookmarkStart w:id="22" w:name="__RefHeading___Toc411372039"/>
      <w:bookmarkEnd w:id="22"/>
      <w:r>
        <w:rPr>
          <w:color w:val="000000"/>
        </w:rPr>
        <w:t>Strefy zagrożenia wybuchem</w:t>
      </w:r>
    </w:p>
    <w:p>
      <w:pPr>
        <w:pStyle w:val="Normal"/>
        <w:ind w:hanging="0" w:left="0"/>
        <w:rPr>
          <w:rFonts w:ascii="Times New Roman" w:hAnsi="Times New Roman"/>
        </w:rPr>
      </w:pPr>
      <w:r>
        <w:rPr/>
        <w:t>W budynku nie występują strefy zagrożenia wybuchem oraz pomieszczenia zagrożone wybuchem</w:t>
      </w:r>
      <w:r>
        <w:rPr>
          <w:color w:val="FF0000"/>
        </w:rPr>
        <w:t xml:space="preserve">. </w:t>
      </w:r>
    </w:p>
    <w:p>
      <w:pPr>
        <w:pStyle w:val="Heading2"/>
        <w:rPr>
          <w:rFonts w:ascii="Times New Roman" w:hAnsi="Times New Roman"/>
          <w:color w:val="000000"/>
        </w:rPr>
      </w:pPr>
      <w:bookmarkStart w:id="23" w:name="__RefHeading___Toc411372040"/>
      <w:bookmarkEnd w:id="23"/>
      <w:r>
        <w:rPr>
          <w:color w:val="000000"/>
        </w:rPr>
        <w:t xml:space="preserve">Odległość od obiektów sąsiednich </w:t>
      </w:r>
    </w:p>
    <w:p>
      <w:pPr>
        <w:pStyle w:val="Normal"/>
        <w:tabs>
          <w:tab w:val="clear" w:pos="708"/>
          <w:tab w:val="left" w:pos="540" w:leader="none"/>
        </w:tabs>
        <w:ind w:hanging="0" w:left="0"/>
        <w:rPr>
          <w:rFonts w:ascii="Times New Roman" w:hAnsi="Times New Roman"/>
          <w:szCs w:val="24"/>
        </w:rPr>
      </w:pPr>
      <w:r>
        <w:rPr>
          <w:szCs w:val="24"/>
        </w:rPr>
        <w:t>Budynek szkolny położony w Zalasowej zlokalizowany jest w sąsiedztwie działek zabudowanych:</w:t>
      </w:r>
    </w:p>
    <w:p>
      <w:pPr>
        <w:pStyle w:val="Normal"/>
        <w:numPr>
          <w:ilvl w:val="0"/>
          <w:numId w:val="11"/>
        </w:numPr>
        <w:tabs>
          <w:tab w:val="clear" w:pos="708"/>
          <w:tab w:val="left" w:pos="540" w:leader="none"/>
        </w:tabs>
        <w:ind w:hanging="360" w:left="900" w:right="0"/>
        <w:rPr>
          <w:rFonts w:ascii="Times New Roman" w:hAnsi="Times New Roman"/>
          <w:szCs w:val="24"/>
        </w:rPr>
      </w:pPr>
      <w:r>
        <w:rPr>
          <w:szCs w:val="24"/>
        </w:rPr>
        <w:t>od północy: budynek mieszkalny w odległości 22 m,</w:t>
      </w:r>
    </w:p>
    <w:p>
      <w:pPr>
        <w:pStyle w:val="Normal"/>
        <w:numPr>
          <w:ilvl w:val="0"/>
          <w:numId w:val="11"/>
        </w:numPr>
        <w:tabs>
          <w:tab w:val="clear" w:pos="708"/>
          <w:tab w:val="left" w:pos="540" w:leader="none"/>
        </w:tabs>
        <w:ind w:hanging="360" w:left="900" w:right="0"/>
        <w:rPr>
          <w:rFonts w:ascii="Times New Roman" w:hAnsi="Times New Roman"/>
          <w:szCs w:val="24"/>
        </w:rPr>
      </w:pPr>
      <w:r>
        <w:rPr>
          <w:szCs w:val="24"/>
        </w:rPr>
        <w:t xml:space="preserve">od wschodu: budynek mieszkalny w odległości 42 m, </w:t>
      </w:r>
    </w:p>
    <w:p>
      <w:pPr>
        <w:pStyle w:val="Normal"/>
        <w:numPr>
          <w:ilvl w:val="0"/>
          <w:numId w:val="11"/>
        </w:numPr>
        <w:tabs>
          <w:tab w:val="clear" w:pos="708"/>
          <w:tab w:val="left" w:pos="540" w:leader="none"/>
        </w:tabs>
        <w:ind w:hanging="360" w:left="900" w:right="0"/>
        <w:rPr>
          <w:rFonts w:ascii="Times New Roman" w:hAnsi="Times New Roman"/>
          <w:szCs w:val="24"/>
        </w:rPr>
      </w:pPr>
      <w:r>
        <w:rPr>
          <w:szCs w:val="24"/>
        </w:rPr>
        <w:t>od południa: jezdnia utwardzona,</w:t>
      </w:r>
    </w:p>
    <w:p>
      <w:pPr>
        <w:pStyle w:val="Normal"/>
        <w:numPr>
          <w:ilvl w:val="0"/>
          <w:numId w:val="11"/>
        </w:numPr>
        <w:tabs>
          <w:tab w:val="clear" w:pos="708"/>
          <w:tab w:val="left" w:pos="540" w:leader="none"/>
        </w:tabs>
        <w:ind w:hanging="360" w:left="900" w:right="0"/>
        <w:rPr>
          <w:rFonts w:ascii="Times New Roman" w:hAnsi="Times New Roman"/>
          <w:szCs w:val="24"/>
        </w:rPr>
      </w:pPr>
      <w:r>
        <w:rPr>
          <w:szCs w:val="24"/>
        </w:rPr>
        <w:t xml:space="preserve">od zachodu: budynek mieszkalny w odległości przekraczającej 50 m . </w:t>
      </w:r>
    </w:p>
    <w:p>
      <w:pPr>
        <w:pStyle w:val="Normal"/>
        <w:tabs>
          <w:tab w:val="clear" w:pos="708"/>
          <w:tab w:val="left" w:pos="426" w:leader="none"/>
          <w:tab w:val="left" w:pos="540" w:leader="none"/>
        </w:tabs>
        <w:ind w:hanging="0" w:left="0" w:right="0"/>
        <w:rPr>
          <w:rFonts w:ascii="Times New Roman" w:hAnsi="Times New Roman"/>
        </w:rPr>
      </w:pPr>
      <w:r>
        <w:rPr>
          <w:szCs w:val="24"/>
        </w:rPr>
        <w:tab/>
        <w:t xml:space="preserve">Powyższy obiekt zachowuje przepisy odległościowe od granicy działki i obiektów sąsiednich, określone w </w:t>
      </w:r>
      <w:r>
        <w:rPr>
          <w:i/>
          <w:szCs w:val="24"/>
        </w:rPr>
        <w:t>§ 12 i § 271</w:t>
      </w:r>
      <w:r>
        <w:rPr>
          <w:szCs w:val="24"/>
        </w:rPr>
        <w:t xml:space="preserve"> rozporządzenia – w sprawie warunków technicznych, jakim powinny odpowiadać budynki i ich usytuowanie.</w:t>
      </w:r>
    </w:p>
    <w:p>
      <w:pPr>
        <w:pStyle w:val="Heading2"/>
        <w:rPr>
          <w:rFonts w:ascii="Times New Roman" w:hAnsi="Times New Roman"/>
        </w:rPr>
      </w:pPr>
      <w:bookmarkStart w:id="24" w:name="__RefHeading___Toc411372041"/>
      <w:bookmarkEnd w:id="24"/>
      <w:r>
        <w:rPr>
          <w:color w:val="000000"/>
        </w:rPr>
        <w:t>Wyposażenie w gaśnice</w:t>
        <w:tab/>
      </w:r>
    </w:p>
    <w:p>
      <w:pPr>
        <w:pStyle w:val="Normal"/>
        <w:ind w:hanging="0" w:left="0"/>
        <w:rPr>
          <w:rFonts w:ascii="Times New Roman" w:hAnsi="Times New Roman"/>
        </w:rPr>
      </w:pPr>
      <w:r>
        <w:rPr/>
        <w:t>Budynek wyposażono w gaśnice proszkowe 6 kg typu ABC, w ilości po jednej sztuce na każde 300 m</w:t>
      </w:r>
      <w:r>
        <w:rPr>
          <w:vertAlign w:val="superscript"/>
        </w:rPr>
        <w:t>2</w:t>
      </w:r>
      <w:r>
        <w:rPr/>
        <w:t xml:space="preserve"> powierzchni, z zachowaniem 30 m długości dojścia do sprzętu. Do gaśnic zapewniono dostęp o szerokości minimum 1 m. </w:t>
      </w:r>
    </w:p>
    <w:p>
      <w:pPr>
        <w:pStyle w:val="Normal"/>
        <w:ind w:hanging="0" w:left="0"/>
        <w:rPr>
          <w:rFonts w:ascii="Times New Roman" w:hAnsi="Times New Roman"/>
        </w:rPr>
      </w:pPr>
      <w:r>
        <w:rPr/>
        <w:t xml:space="preserve">W pomieszczeniach technicznych zastosowano dodatkowo gaśnice śniegowe </w:t>
        <w:br/>
        <w:t xml:space="preserve">GS-5 oraz koce gaśnicze. Zastosowano gaśnice posiadające certyfikat zgodności CNBOP. </w:t>
      </w:r>
    </w:p>
    <w:p>
      <w:pPr>
        <w:pStyle w:val="Heading2"/>
        <w:rPr>
          <w:rFonts w:ascii="Times New Roman" w:hAnsi="Times New Roman"/>
          <w:color w:val="000000"/>
        </w:rPr>
      </w:pPr>
      <w:bookmarkStart w:id="25" w:name="__RefHeading___Toc411372042"/>
      <w:bookmarkEnd w:id="25"/>
      <w:r>
        <w:rPr>
          <w:color w:val="000000"/>
        </w:rPr>
        <w:t>Zaopatrzenie w wodę do zewnętrznego gaszenia pożaru</w:t>
      </w:r>
    </w:p>
    <w:p>
      <w:pPr>
        <w:pStyle w:val="Normal"/>
        <w:tabs>
          <w:tab w:val="clear" w:pos="708"/>
          <w:tab w:val="left" w:pos="540" w:leader="none"/>
        </w:tabs>
        <w:ind w:hanging="0" w:left="0"/>
        <w:rPr>
          <w:rFonts w:ascii="Times New Roman" w:hAnsi="Times New Roman"/>
        </w:rPr>
      </w:pPr>
      <w:r>
        <w:rPr>
          <w:szCs w:val="24"/>
        </w:rPr>
        <w:t xml:space="preserve">Zgodnie z </w:t>
      </w:r>
      <w:r>
        <w:rPr>
          <w:i/>
          <w:szCs w:val="24"/>
        </w:rPr>
        <w:t>§ 5 ust. 1 pkt 2</w:t>
      </w:r>
      <w:r>
        <w:rPr>
          <w:szCs w:val="24"/>
        </w:rPr>
        <w:t xml:space="preserve"> rozporządzenia – w sprawie przeciwpożarowego zaopatrzenia w wodę oraz dróg pożarowych dla budynku użyteczności publicznej o kubaturze brutto przekraczającej 5000m</w:t>
      </w:r>
      <w:r>
        <w:rPr>
          <w:szCs w:val="24"/>
          <w:vertAlign w:val="superscript"/>
        </w:rPr>
        <w:t>3</w:t>
      </w:r>
      <w:r>
        <w:rPr>
          <w:szCs w:val="24"/>
        </w:rPr>
        <w:t xml:space="preserve"> i powierzchni wewnętrznej powyżej 1000m</w:t>
      </w:r>
      <w:r>
        <w:rPr>
          <w:szCs w:val="24"/>
          <w:vertAlign w:val="superscript"/>
        </w:rPr>
        <w:t>2</w:t>
      </w:r>
      <w:r>
        <w:rPr>
          <w:szCs w:val="24"/>
        </w:rPr>
        <w:t xml:space="preserve"> wymagana ilość wody do celów przeciwpożarowych do zewnętrznego gaszenia pożaru wynosi 20 dm</w:t>
      </w:r>
      <w:r>
        <w:rPr>
          <w:szCs w:val="24"/>
          <w:vertAlign w:val="superscript"/>
        </w:rPr>
        <w:t>3</w:t>
      </w:r>
      <w:r>
        <w:rPr>
          <w:szCs w:val="24"/>
        </w:rPr>
        <w:t>/s z co najmniej dwóch hydrantów o średnicy 80 mm lub 200 m</w:t>
      </w:r>
      <w:r>
        <w:rPr>
          <w:szCs w:val="24"/>
          <w:vertAlign w:val="superscript"/>
        </w:rPr>
        <w:t>3</w:t>
      </w:r>
      <w:r>
        <w:rPr>
          <w:szCs w:val="24"/>
        </w:rPr>
        <w:t xml:space="preserve"> zapasu wody w przeciwpożarowym zbiorniku wodnym.</w:t>
      </w:r>
    </w:p>
    <w:p>
      <w:pPr>
        <w:pStyle w:val="Normal"/>
        <w:tabs>
          <w:tab w:val="clear" w:pos="708"/>
          <w:tab w:val="left" w:pos="540" w:leader="none"/>
        </w:tabs>
        <w:ind w:hanging="0" w:left="0"/>
        <w:rPr>
          <w:rFonts w:ascii="Times New Roman" w:hAnsi="Times New Roman"/>
        </w:rPr>
      </w:pPr>
      <w:r>
        <w:rPr>
          <w:szCs w:val="24"/>
        </w:rPr>
      </w:r>
    </w:p>
    <w:p>
      <w:pPr>
        <w:pStyle w:val="Normal"/>
        <w:ind w:hanging="0" w:left="0"/>
        <w:rPr>
          <w:rFonts w:ascii="Times New Roman" w:hAnsi="Times New Roman"/>
        </w:rPr>
      </w:pPr>
      <w:r>
        <w:rPr>
          <w:szCs w:val="24"/>
        </w:rPr>
      </w:r>
    </w:p>
    <w:p>
      <w:pPr>
        <w:pStyle w:val="Normal"/>
        <w:ind w:hanging="0" w:left="0"/>
        <w:rPr>
          <w:rFonts w:ascii="Times New Roman" w:hAnsi="Times New Roman"/>
        </w:rPr>
      </w:pPr>
      <w:r>
        <w:rPr>
          <w:szCs w:val="24"/>
        </w:rPr>
        <w:t xml:space="preserve">Woda do zewnętrznego gaszenia pożaru dla przedmiotowego </w:t>
      </w:r>
      <w:r>
        <w:rPr/>
        <w:t>budynku</w:t>
      </w:r>
      <w:r>
        <w:rPr>
          <w:szCs w:val="24"/>
        </w:rPr>
        <w:t xml:space="preserve"> zapewniona </w:t>
      </w:r>
      <w:r>
        <w:rPr/>
        <w:t>jest</w:t>
      </w:r>
      <w:r>
        <w:rPr>
          <w:szCs w:val="24"/>
        </w:rPr>
        <w:t xml:space="preserve"> z dwóch hydrantów zewnętrznych zlokalizowanych na sieci wodociągowej. Najbliższy hydrant zewnętrzny nadziemny DN80 zlokalizowany jest w odległości około 25 m od budynku w kierunku południowo-wschodnim, natomiast kolejny hydrant znajduje się w odległości nie przekraczającej 150 m od budynku. </w:t>
      </w:r>
    </w:p>
    <w:p>
      <w:pPr>
        <w:pStyle w:val="Heading2"/>
        <w:rPr>
          <w:rFonts w:ascii="Times New Roman" w:hAnsi="Times New Roman"/>
          <w:color w:val="000000"/>
        </w:rPr>
      </w:pPr>
      <w:bookmarkStart w:id="26" w:name="__RefHeading___Toc411372043"/>
      <w:bookmarkEnd w:id="26"/>
      <w:r>
        <w:rPr>
          <w:color w:val="000000"/>
        </w:rPr>
        <w:t xml:space="preserve">Droga pożarowa </w:t>
      </w:r>
    </w:p>
    <w:p>
      <w:pPr>
        <w:pStyle w:val="Normal"/>
        <w:tabs>
          <w:tab w:val="clear" w:pos="708"/>
          <w:tab w:val="left" w:pos="540" w:leader="none"/>
        </w:tabs>
        <w:ind w:hanging="0" w:left="0"/>
        <w:rPr>
          <w:rFonts w:ascii="Times New Roman" w:hAnsi="Times New Roman"/>
        </w:rPr>
      </w:pPr>
      <w:r>
        <w:rPr>
          <w:szCs w:val="24"/>
        </w:rPr>
        <w:t>Do obiektu jest doprowadzona  droga pożarow</w:t>
      </w:r>
      <w:r>
        <w:rPr/>
        <w:t xml:space="preserve">ą o utwardzonej nawierzchni, umożliwiającej dojazd o każdej porze roku jednostek ochrony przeciwpożarowej do obiektu. Przedmiotowa droga pożarowa połączona jest utwardzonym dojściem do budynku o długości nie przekraczającej 30 m i szerokości 1,5 m.  </w:t>
      </w:r>
    </w:p>
    <w:p>
      <w:pPr>
        <w:pStyle w:val="Normal"/>
        <w:ind w:hanging="0" w:left="0"/>
        <w:rPr>
          <w:rFonts w:ascii="Times New Roman" w:hAnsi="Times New Roman" w:eastAsia="Times New Roman"/>
          <w:b/>
        </w:rPr>
      </w:pPr>
      <w:r>
        <w:rPr>
          <w:rFonts w:eastAsia="Times New Roman"/>
          <w:b/>
        </w:rPr>
        <w:t xml:space="preserve">    </w:t>
      </w:r>
    </w:p>
    <w:p>
      <w:pPr>
        <w:pStyle w:val="Heading1"/>
        <w:ind w:hanging="284" w:left="284" w:right="0"/>
        <w:rPr>
          <w:rFonts w:ascii="Times New Roman" w:hAnsi="Times New Roman"/>
        </w:rPr>
      </w:pPr>
      <w:bookmarkStart w:id="27" w:name="__RefHeading___Toc411372044"/>
      <w:bookmarkEnd w:id="27"/>
      <w:r>
        <w:rPr/>
        <w:t>Bezpieczeństwo ekip ratowniczych, warunki prowadzenia działań ratowniczo-gaśniczych.</w:t>
      </w:r>
    </w:p>
    <w:p>
      <w:pPr>
        <w:pStyle w:val="Normal"/>
        <w:ind w:hanging="0" w:left="0"/>
        <w:rPr>
          <w:rFonts w:ascii="Times New Roman" w:hAnsi="Times New Roman"/>
        </w:rPr>
      </w:pPr>
      <w:r>
        <w:rPr/>
        <w:t xml:space="preserve">Aby możliwe było szybkie ugaszenie pożaru, niezbędne jest zapewnienie ekipom ratowniczym możliwości dotarcia wraz ze sprzętem do wnętrza budynku, w rejon pożaru.  W związku z tym niezbędne jest zapewnienie odpowiednim elementom konstrukcyjnym budynku klasy odporności ogniowej, zapewnienie urządzeń wspomagających działania ratownicze.  </w:t>
      </w:r>
    </w:p>
    <w:p>
      <w:pPr>
        <w:pStyle w:val="Heading2"/>
        <w:ind w:hanging="426" w:left="426" w:right="0"/>
        <w:rPr>
          <w:rFonts w:ascii="Times New Roman" w:hAnsi="Times New Roman"/>
          <w:color w:val="000000"/>
        </w:rPr>
      </w:pPr>
      <w:bookmarkStart w:id="28" w:name="__RefHeading___Toc411372045"/>
      <w:bookmarkEnd w:id="28"/>
      <w:r>
        <w:rPr>
          <w:color w:val="000000"/>
        </w:rPr>
        <w:t>Klasa odporności pożarowej obiektu oraz ogniowej poszczególnych elementów konstrukcyjnych budynku</w:t>
      </w:r>
    </w:p>
    <w:p>
      <w:pPr>
        <w:pStyle w:val="Normal"/>
        <w:ind w:hanging="0" w:left="0"/>
        <w:rPr>
          <w:rFonts w:ascii="Times New Roman" w:hAnsi="Times New Roman"/>
        </w:rPr>
      </w:pPr>
      <w:r>
        <w:rPr/>
        <w:t xml:space="preserve">Obiekt wykonany w technologii tradycyjnej z elementów niepalnych, co zapewnia bezpieczne prowadzenie działań ratowniczych przez przybyłe zastępy. Schody i spoczniki wykonane z elementów niepalnych spełniających kryterium R 60. </w:t>
      </w:r>
    </w:p>
    <w:p>
      <w:pPr>
        <w:pStyle w:val="Heading2"/>
        <w:rPr>
          <w:rFonts w:ascii="Times New Roman" w:hAnsi="Times New Roman"/>
          <w:color w:val="000000"/>
        </w:rPr>
      </w:pPr>
      <w:bookmarkStart w:id="29" w:name="__RefHeading___Toc411372046"/>
      <w:bookmarkEnd w:id="29"/>
      <w:r>
        <w:rPr>
          <w:color w:val="000000"/>
        </w:rPr>
        <w:t>Przewidywany czas trwania pożaru</w:t>
      </w:r>
    </w:p>
    <w:p>
      <w:pPr>
        <w:pStyle w:val="Normal"/>
        <w:tabs>
          <w:tab w:val="clear" w:pos="708"/>
          <w:tab w:val="left" w:pos="540" w:leader="none"/>
        </w:tabs>
        <w:ind w:hanging="0" w:left="0"/>
        <w:rPr>
          <w:rFonts w:ascii="Times New Roman" w:hAnsi="Times New Roman"/>
        </w:rPr>
      </w:pPr>
      <w:r>
        <w:rPr>
          <w:szCs w:val="24"/>
        </w:rPr>
        <w:t xml:space="preserve">Zgodnie z Polską Normą </w:t>
      </w:r>
      <w:r>
        <w:rPr/>
        <w:t xml:space="preserve">PN-B-02852 Ochrona przeciwpożarowa budynków. Obliczanie gęstości obciążenia ogniowego oraz względnego czasu trwania pożaru – rozpatrywany czas nie przekracza 1 godziny.  </w:t>
      </w:r>
    </w:p>
    <w:p>
      <w:pPr>
        <w:pStyle w:val="Heading2"/>
        <w:rPr>
          <w:rFonts w:ascii="Times New Roman" w:hAnsi="Times New Roman"/>
          <w:color w:val="000000"/>
        </w:rPr>
      </w:pPr>
      <w:bookmarkStart w:id="30" w:name="__RefHeading___Toc411372047"/>
      <w:bookmarkEnd w:id="30"/>
      <w:r>
        <w:rPr>
          <w:color w:val="000000"/>
        </w:rPr>
        <w:t>Moc pożaru</w:t>
      </w:r>
    </w:p>
    <w:p>
      <w:pPr>
        <w:pStyle w:val="Normal"/>
        <w:ind w:hanging="0" w:left="0"/>
        <w:rPr>
          <w:rFonts w:ascii="Times New Roman" w:hAnsi="Times New Roman"/>
        </w:rPr>
      </w:pPr>
      <w:r>
        <w:rPr/>
        <w:t xml:space="preserve">Szybkość rozprzestrzeniania się pożaru jest jednym z istotnych parametrów określających przyrost wydzielającego się ciepła i dymu w czasie. W rozpatrywanym obiekcie zgodnie z NFPA 204 przyjęto klasę pożaru – powolny, której współczynnik α opisujący szybkość rozwoju pożaru wynosi 0,0029. Wartość charakterystyczna określająca czas, w jakim pożar osiągnie moc równą 1000 kW od momentu powstania wynosi 600 sekund. </w:t>
      </w:r>
    </w:p>
    <w:p>
      <w:pPr>
        <w:pStyle w:val="Normal"/>
        <w:ind w:hanging="0" w:left="0"/>
        <w:rPr>
          <w:rFonts w:ascii="Times New Roman" w:hAnsi="Times New Roman"/>
        </w:rPr>
      </w:pPr>
      <w:r>
        <w:rPr/>
        <w:t>W związku z tym w określonym czasie od powstania zagrożenia zostanie przeprowadzona skuteczna ewakuacja osób, a przybyłe na miejsce zdarzenia ekipy ratownicze będą mogły podjąć skuteczne działania ratownicze.</w:t>
      </w:r>
    </w:p>
    <w:p>
      <w:pPr>
        <w:pStyle w:val="Normal"/>
        <w:ind w:hanging="0" w:left="0"/>
        <w:rPr>
          <w:rFonts w:ascii="Times New Roman" w:hAnsi="Times New Roman"/>
        </w:rPr>
      </w:pPr>
      <w:r>
        <w:rPr/>
      </w:r>
    </w:p>
    <w:p>
      <w:pPr>
        <w:pStyle w:val="Normal"/>
        <w:ind w:hanging="0" w:left="0"/>
        <w:rPr>
          <w:rFonts w:ascii="Times New Roman" w:hAnsi="Times New Roman"/>
        </w:rPr>
      </w:pPr>
      <w:r>
        <w:rPr/>
      </w:r>
    </w:p>
    <w:p>
      <w:pPr>
        <w:pStyle w:val="Heading1"/>
        <w:rPr>
          <w:sz w:val="26"/>
          <w:szCs w:val="26"/>
        </w:rPr>
      </w:pPr>
      <w:bookmarkStart w:id="31" w:name="__RefHeading___Toc411372048"/>
      <w:bookmarkEnd w:id="31"/>
      <w:r>
        <w:rPr>
          <w:sz w:val="26"/>
          <w:szCs w:val="26"/>
        </w:rPr>
        <w:t>Wyznaczenie krzywej parametrycznej</w:t>
      </w:r>
    </w:p>
    <w:p>
      <w:pPr>
        <w:pStyle w:val="Normal"/>
        <w:ind w:hanging="0" w:left="0"/>
        <w:rPr>
          <w:rFonts w:ascii="Times New Roman" w:hAnsi="Times New Roman"/>
        </w:rPr>
      </w:pPr>
      <w:r>
        <w:rPr/>
        <w:t>Głównym celem przepisów przeciwpożarowych jest zapewnienie ochrony życia ludzi, osób przebywających w budynku i strażaków a także mienia. Realizowana jest ona między innymi poprzez zachowanie stateczności konstrukcji budynku przez okres wystarczający do ewakuacji osób przebywających w obiekcie i przeprowadzenie przez straż pożarną akcji ratowniczo-gaśniczej.</w:t>
      </w:r>
    </w:p>
    <w:p>
      <w:pPr>
        <w:pStyle w:val="Normal"/>
        <w:ind w:hanging="0" w:left="0"/>
        <w:rPr>
          <w:rFonts w:ascii="Times New Roman" w:hAnsi="Times New Roman"/>
        </w:rPr>
      </w:pPr>
      <w:r>
        <w:rPr/>
        <w:t>Korzystając z zapisu ustawy prawa budowlanego budynki można projektować za pomocą metody tradycyjnej lub metody alternatywnej opartej na właściwościach użytkowych, gdzie zastosowanie mają zasady inżynierii bezpieczeństwa pożarowego opisane w Eurokodach. Jako alternatywę do metody tradycyjnej metoda oparta na właściwościach użytkowych umożliwia ocenę przyjętych rozwiązań w celu spełnienia przyjętych określonych celów zabezpieczenia przeciwpożarowego oraz odpowiadających im kryteriów.</w:t>
      </w:r>
    </w:p>
    <w:p>
      <w:pPr>
        <w:pStyle w:val="Normal"/>
        <w:ind w:hanging="0" w:left="0"/>
        <w:rPr>
          <w:rFonts w:ascii="Times New Roman" w:hAnsi="Times New Roman"/>
        </w:rPr>
      </w:pPr>
      <w:r>
        <w:rPr/>
        <w:t xml:space="preserve">W odniesieniu do budynków stawiane są wymagania odporności ogniowej określone w przepisach w oparciu o standardową krzywą pożaru, jednakże w przypadku </w:t>
      </w:r>
      <w:r>
        <w:rPr/>
        <w:t>zespołu szkolno-przedszkolnego</w:t>
      </w:r>
      <w:r>
        <w:rPr/>
        <w:t xml:space="preserve"> przyjęto dokładne prognozowanie pożaru uzyskując parametryczną krzywą temperatura-czas. </w:t>
      </w:r>
    </w:p>
    <w:p>
      <w:pPr>
        <w:pStyle w:val="Normal"/>
        <w:ind w:hanging="0" w:left="0"/>
        <w:rPr>
          <w:rFonts w:ascii="Times New Roman" w:hAnsi="Times New Roman"/>
        </w:rPr>
      </w:pPr>
      <w:r>
        <w:rPr/>
        <w:t>W celu wyznaczenia przebiegu pożaru obliczeniowego na bazie krzywych parametrycznych niezbędne jest określenie zależności temperatura czas w fazie nagrzewania, wyznaczenie maksymalnej temperatury pożaru, określenie zależności temperatury czas w fazie studzenia.</w:t>
      </w:r>
    </w:p>
    <w:p>
      <w:pPr>
        <w:pStyle w:val="Normal"/>
        <w:ind w:hanging="0" w:left="0"/>
        <w:rPr>
          <w:rFonts w:ascii="Times New Roman" w:hAnsi="Times New Roman"/>
        </w:rPr>
      </w:pPr>
      <w:r>
        <w:rPr/>
        <w:t xml:space="preserve">Eurokod 1 nie przewiduje gęstości obciążenia ogniowego dla budynku szkoły,  w związku z czym rozpatrywano szkołę jako budynek biurowy z charakterystyczną gęstością obciążenia ogniowego odniesioną na jednostkę powierzchni biorąc pod uwagę fraktal 80% podany w Tablicy E.4 ponadto rozpatrywano pożar w klasie: </w:t>
      </w:r>
    </w:p>
    <w:p>
      <w:pPr>
        <w:pStyle w:val="Normal"/>
        <w:ind w:hanging="0" w:left="0"/>
        <w:jc w:val="center"/>
        <w:rPr>
          <w:rFonts w:ascii="Times New Roman" w:hAnsi="Times New Roman"/>
          <w:szCs w:val="24"/>
        </w:rPr>
      </w:pPr>
      <w:r>
        <w:rPr/>
      </w:r>
      <m:oMathPara xmlns:m="http://schemas.openxmlformats.org/officeDocument/2006/math">
        <m:oMathParaPr>
          <m:jc m:val="center"/>
        </m:oMathParaPr>
        <m:oMath>
          <m:sSub>
            <m:e>
              <m:r>
                <w:rPr>
                  <w:rFonts w:ascii="Cambria Math" w:hAnsi="Cambria Math"/>
                </w:rPr>
                <m:t xml:space="preserve">q</m:t>
              </m:r>
            </m:e>
            <m:sub>
              <m:r>
                <w:rPr>
                  <w:rFonts w:ascii="Cambria Math" w:hAnsi="Cambria Math"/>
                </w:rPr>
                <m:t xml:space="preserve">f</m:t>
              </m:r>
              <m:r>
                <w:rPr>
                  <w:rFonts w:ascii="Cambria Math" w:hAnsi="Cambria Math"/>
                </w:rPr>
                <m:t xml:space="preserve">,</m:t>
              </m:r>
              <m:r>
                <w:rPr>
                  <w:rFonts w:ascii="Cambria Math" w:hAnsi="Cambria Math"/>
                </w:rPr>
                <m:t xml:space="preserve">k</m:t>
              </m:r>
            </m:sub>
          </m:sSub>
          <m:r>
            <m:rPr>
              <m:lit/>
              <m:nor/>
            </m:rPr>
            <w:rPr>
              <w:rFonts w:ascii="Cambria Math" w:hAnsi="Cambria Math"/>
            </w:rPr>
            <m:t xml:space="preserve">=</m:t>
          </m:r>
          <m:r>
            <m:rPr>
              <m:lit/>
              <m:nor/>
            </m:rPr>
            <w:rPr>
              <w:rFonts w:ascii="Cambria Math" w:hAnsi="Cambria Math"/>
            </w:rPr>
            <m:t xml:space="preserve">511</m:t>
          </m:r>
          <m:f>
            <m:fPr>
              <m:type m:val="lin"/>
            </m:fPr>
            <m:num>
              <m:r>
                <m:rPr>
                  <m:lit/>
                  <m:nor/>
                </m:rPr>
                <w:rPr>
                  <w:rFonts w:ascii="Cambria Math" w:hAnsi="Cambria Math"/>
                </w:rPr>
                <m:t xml:space="preserve">MJ</m:t>
              </m:r>
            </m:num>
            <m:den>
              <m:sSup>
                <m:e>
                  <m:r>
                    <w:rPr>
                      <w:rFonts w:ascii="Cambria Math" w:hAnsi="Cambria Math"/>
                    </w:rPr>
                    <m:t xml:space="preserve">m</m:t>
                  </m:r>
                </m:e>
                <m:sup>
                  <m:r>
                    <w:rPr>
                      <w:rFonts w:ascii="Cambria Math" w:hAnsi="Cambria Math"/>
                    </w:rPr>
                    <m:t xml:space="preserve">2</m:t>
                  </m:r>
                </m:sup>
              </m:sSup>
            </m:den>
          </m:f>
        </m:oMath>
      </m:oMathPara>
    </w:p>
    <w:p>
      <w:pPr>
        <w:pStyle w:val="Normal"/>
        <w:spacing w:lineRule="auto" w:line="276"/>
        <w:ind w:hanging="0" w:left="0" w:right="0"/>
        <w:jc w:val="left"/>
        <w:rPr>
          <w:rFonts w:ascii="Times New Roman" w:hAnsi="Times New Roman"/>
        </w:rPr>
      </w:pPr>
      <w:r>
        <w:rPr/>
        <w:t xml:space="preserve">Powierzchnia podłogi wynosi: </w:t>
      </w:r>
    </w:p>
    <w:p>
      <w:pPr>
        <w:pStyle w:val="Normal"/>
        <w:spacing w:lineRule="auto" w:line="276"/>
        <w:ind w:hanging="0" w:left="0" w:right="0"/>
        <w:jc w:val="center"/>
        <w:rPr>
          <w:rFonts w:ascii="Times New Roman" w:hAnsi="Times New Roman"/>
          <w:szCs w:val="24"/>
        </w:rPr>
      </w:pPr>
      <w:r>
        <w:rPr/>
      </w:r>
      <m:oMathPara xmlns:m="http://schemas.openxmlformats.org/officeDocument/2006/math">
        <m:oMathParaPr>
          <m:jc m:val="center"/>
        </m:oMathParaPr>
        <m:oMath>
          <m:sSub>
            <m:e>
              <m:r>
                <w:rPr>
                  <w:rFonts w:ascii="Cambria Math" w:hAnsi="Cambria Math"/>
                </w:rPr>
                <m:t xml:space="preserve">A</m:t>
              </m:r>
            </m:e>
            <m:sub>
              <m:r>
                <w:rPr>
                  <w:rFonts w:ascii="Cambria Math" w:hAnsi="Cambria Math"/>
                </w:rPr>
                <m:t xml:space="preserve">f</m:t>
              </m:r>
            </m:sub>
          </m:sSub>
          <m:r>
            <m:rPr>
              <m:lit/>
              <m:nor/>
            </m:rPr>
            <w:rPr>
              <w:rFonts w:ascii="Cambria Math" w:hAnsi="Cambria Math"/>
            </w:rPr>
            <m:t xml:space="preserve">=</m:t>
          </m:r>
          <m:r>
            <w:rPr>
              <w:rFonts w:ascii="Cambria Math" w:hAnsi="Cambria Math"/>
            </w:rPr>
            <m:t xml:space="preserve">a</m:t>
          </m:r>
          <m:r>
            <w:rPr>
              <w:rFonts w:ascii="Cambria Math" w:hAnsi="Cambria Math"/>
            </w:rPr>
            <m:t xml:space="preserve">⋅</m:t>
          </m:r>
          <m:r>
            <w:rPr>
              <w:rFonts w:ascii="Cambria Math" w:hAnsi="Cambria Math"/>
            </w:rPr>
            <m:t xml:space="preserve">b</m:t>
          </m:r>
          <m:r>
            <w:rPr>
              <w:rFonts w:ascii="Cambria Math" w:hAnsi="Cambria Math"/>
            </w:rPr>
            <m:t xml:space="preserve">⋅</m:t>
          </m:r>
          <m:r>
            <w:rPr>
              <w:rFonts w:ascii="Cambria Math" w:hAnsi="Cambria Math"/>
            </w:rPr>
            <m:t xml:space="preserve">8</m:t>
          </m:r>
          <m:r>
            <w:rPr>
              <w:rFonts w:ascii="Cambria Math" w:hAnsi="Cambria Math"/>
            </w:rPr>
            <m:t xml:space="preserve">,</m:t>
          </m:r>
          <m:r>
            <m:rPr>
              <m:lit/>
              <m:nor/>
            </m:rPr>
            <w:rPr>
              <w:rFonts w:ascii="Cambria Math" w:hAnsi="Cambria Math"/>
            </w:rPr>
            <m:t xml:space="preserve">68</m:t>
          </m:r>
          <m:r>
            <w:rPr>
              <w:rFonts w:ascii="Cambria Math" w:hAnsi="Cambria Math"/>
            </w:rPr>
            <m:t xml:space="preserve">⋅</m:t>
          </m:r>
          <m:r>
            <w:rPr>
              <w:rFonts w:ascii="Cambria Math" w:hAnsi="Cambria Math"/>
            </w:rPr>
            <m:t xml:space="preserve">5</m:t>
          </m:r>
          <m:r>
            <w:rPr>
              <w:rFonts w:ascii="Cambria Math" w:hAnsi="Cambria Math"/>
            </w:rPr>
            <m:t xml:space="preserve">,</m:t>
          </m:r>
          <m:r>
            <m:rPr>
              <m:lit/>
              <m:nor/>
            </m:rPr>
            <w:rPr>
              <w:rFonts w:ascii="Cambria Math" w:hAnsi="Cambria Math"/>
            </w:rPr>
            <m:t xml:space="preserve">68</m:t>
          </m:r>
          <m:r>
            <m:rPr>
              <m:lit/>
              <m:nor/>
            </m:rPr>
            <w:rPr>
              <w:rFonts w:ascii="Cambria Math" w:hAnsi="Cambria Math"/>
            </w:rPr>
            <m:t xml:space="preserve">=</m:t>
          </m:r>
          <m:r>
            <m:rPr>
              <m:lit/>
              <m:nor/>
            </m:rPr>
            <w:rPr>
              <w:rFonts w:ascii="Cambria Math" w:hAnsi="Cambria Math"/>
            </w:rPr>
            <m:t xml:space="preserve">49</m:t>
          </m:r>
          <m:r>
            <w:rPr>
              <w:rFonts w:ascii="Cambria Math" w:hAnsi="Cambria Math"/>
            </w:rPr>
            <m:t xml:space="preserve">,3</m:t>
          </m:r>
          <m:sSup>
            <m:e>
              <m:r>
                <w:rPr>
                  <w:rFonts w:ascii="Cambria Math" w:hAnsi="Cambria Math"/>
                </w:rPr>
                <m:t xml:space="preserve">m</m:t>
              </m:r>
            </m:e>
            <m:sup>
              <m:r>
                <w:rPr>
                  <w:rFonts w:ascii="Cambria Math" w:hAnsi="Cambria Math"/>
                </w:rPr>
                <m:t xml:space="preserve">2</m:t>
              </m:r>
            </m:sup>
          </m:sSup>
        </m:oMath>
      </m:oMathPara>
    </w:p>
    <w:p>
      <w:pPr>
        <w:pStyle w:val="Normal"/>
        <w:spacing w:lineRule="auto" w:line="276" w:before="0" w:after="57"/>
        <w:ind w:hanging="0" w:left="0" w:right="0"/>
        <w:jc w:val="left"/>
        <w:rPr>
          <w:rFonts w:ascii="Times New Roman" w:hAnsi="Times New Roman"/>
        </w:rPr>
      </w:pPr>
      <w:r>
        <w:rPr>
          <w:rFonts w:eastAsia="Times New Roman"/>
          <w:szCs w:val="24"/>
        </w:rPr>
        <w:t xml:space="preserve">  </w:t>
      </w:r>
      <w:r>
        <w:rPr/>
        <w:t xml:space="preserve">Obliczono współczynnik niebezpieczeństwa pożaru w oparciu o dane zawarte w PN EN 1991 </w:t>
      </w:r>
    </w:p>
    <w:tbl>
      <w:tblPr>
        <w:tblW w:w="8755" w:type="dxa"/>
        <w:jc w:val="left"/>
        <w:tblInd w:w="0" w:type="dxa"/>
        <w:tblLayout w:type="fixed"/>
        <w:tblCellMar>
          <w:top w:w="0" w:type="dxa"/>
          <w:left w:w="108" w:type="dxa"/>
          <w:bottom w:w="0" w:type="dxa"/>
          <w:right w:w="108" w:type="dxa"/>
        </w:tblCellMar>
      </w:tblPr>
      <w:tblGrid>
        <w:gridCol w:w="1666"/>
        <w:gridCol w:w="2128"/>
        <w:gridCol w:w="2127"/>
        <w:gridCol w:w="2834"/>
      </w:tblGrid>
      <w:tr>
        <w:trPr>
          <w:trHeight w:val="1450" w:hRule="atLeast"/>
        </w:trPr>
        <w:tc>
          <w:tcPr>
            <w:tcW w:w="1666"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lineRule="auto" w:line="240" w:before="0" w:after="200"/>
              <w:ind w:hanging="0" w:left="0" w:right="0"/>
              <w:jc w:val="center"/>
              <w:rPr>
                <w:rFonts w:ascii="Times New Roman" w:hAnsi="Times New Roman"/>
              </w:rPr>
            </w:pPr>
            <w:r>
              <w:rPr/>
              <w:t>Powierzchnia podłogi strefy pożarowej A</w:t>
            </w:r>
            <w:r>
              <w:rPr>
                <w:vertAlign w:val="subscript"/>
              </w:rPr>
              <w:t>f</w:t>
            </w:r>
            <w:r>
              <w:rPr/>
              <w:t>[m</w:t>
            </w:r>
            <w:r>
              <w:rPr>
                <w:vertAlign w:val="superscript"/>
              </w:rPr>
              <w:t>2</w:t>
            </w:r>
            <w:r>
              <w:rPr/>
              <w:t>]</w:t>
            </w:r>
          </w:p>
        </w:tc>
        <w:tc>
          <w:tcPr>
            <w:tcW w:w="2128"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lineRule="auto" w:line="240"/>
              <w:ind w:hanging="0" w:left="0" w:right="0"/>
              <w:jc w:val="center"/>
              <w:rPr>
                <w:rFonts w:ascii="Times New Roman" w:hAnsi="Times New Roman"/>
              </w:rPr>
            </w:pPr>
            <w:r>
              <w:rPr/>
              <w:t>Niebezpieczeństwo</w:t>
            </w:r>
          </w:p>
          <w:p>
            <w:pPr>
              <w:pStyle w:val="Normal"/>
              <w:widowControl w:val="false"/>
              <w:spacing w:lineRule="auto" w:line="240" w:before="0" w:after="200"/>
              <w:ind w:hanging="0" w:left="0" w:right="0"/>
              <w:jc w:val="center"/>
              <w:rPr>
                <w:rFonts w:ascii="Times New Roman" w:hAnsi="Times New Roman"/>
              </w:rPr>
            </w:pPr>
            <w:r>
              <w:rPr/>
              <w:t>powstania pożaru δ</w:t>
            </w:r>
            <w:r>
              <w:rPr>
                <w:vertAlign w:val="subscript"/>
              </w:rPr>
              <w:t>q1</w:t>
            </w:r>
          </w:p>
        </w:tc>
        <w:tc>
          <w:tcPr>
            <w:tcW w:w="2127"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lineRule="auto" w:line="240" w:before="0" w:after="200"/>
              <w:ind w:hanging="0" w:left="0" w:right="0"/>
              <w:jc w:val="center"/>
              <w:rPr>
                <w:rFonts w:ascii="Times New Roman" w:hAnsi="Times New Roman"/>
              </w:rPr>
            </w:pPr>
            <w:r>
              <w:rPr/>
              <w:t>Niebezpieczeństwo powstania pożaru δ</w:t>
            </w:r>
            <w:r>
              <w:rPr>
                <w:vertAlign w:val="subscript"/>
              </w:rPr>
              <w:t>q2</w:t>
            </w:r>
          </w:p>
        </w:tc>
        <w:tc>
          <w:tcPr>
            <w:tcW w:w="2834"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lineRule="auto" w:line="240" w:before="0" w:after="200"/>
              <w:ind w:hanging="0" w:left="0" w:right="0"/>
              <w:jc w:val="center"/>
              <w:rPr>
                <w:rFonts w:ascii="Times New Roman" w:hAnsi="Times New Roman"/>
              </w:rPr>
            </w:pPr>
            <w:r>
              <w:rPr/>
              <w:t>Przykłady sposobów użytkowania</w:t>
            </w:r>
          </w:p>
        </w:tc>
      </w:tr>
      <w:tr>
        <w:trPr/>
        <w:tc>
          <w:tcPr>
            <w:tcW w:w="16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rPr>
                <w:rFonts w:ascii="Times New Roman" w:hAnsi="Times New Roman"/>
              </w:rPr>
            </w:pPr>
            <w:r>
              <w:rPr/>
              <w:t>25</w:t>
            </w:r>
          </w:p>
        </w:tc>
        <w:tc>
          <w:tcPr>
            <w:tcW w:w="21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rPr>
                <w:rFonts w:ascii="Times New Roman" w:hAnsi="Times New Roman"/>
              </w:rPr>
            </w:pPr>
            <w:r>
              <w:rPr/>
              <w:t>1,10</w:t>
            </w:r>
          </w:p>
        </w:tc>
        <w:tc>
          <w:tcPr>
            <w:tcW w:w="21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rPr>
                <w:rFonts w:ascii="Times New Roman" w:hAnsi="Times New Roman"/>
              </w:rPr>
            </w:pPr>
            <w:r>
              <w:rPr/>
              <w:t>0,78</w:t>
            </w:r>
          </w:p>
        </w:tc>
        <w:tc>
          <w:tcPr>
            <w:tcW w:w="28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rPr>
                <w:rFonts w:ascii="Times New Roman" w:hAnsi="Times New Roman"/>
              </w:rPr>
            </w:pPr>
            <w:r>
              <w:rPr/>
              <w:t>Galerie sztuki, muzea, baseny</w:t>
            </w:r>
          </w:p>
        </w:tc>
      </w:tr>
      <w:tr>
        <w:trPr/>
        <w:tc>
          <w:tcPr>
            <w:tcW w:w="16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rPr>
                <w:rFonts w:ascii="Times New Roman" w:hAnsi="Times New Roman"/>
              </w:rPr>
            </w:pPr>
            <w:r>
              <w:rPr/>
              <w:t>250</w:t>
            </w:r>
          </w:p>
        </w:tc>
        <w:tc>
          <w:tcPr>
            <w:tcW w:w="21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rPr>
                <w:rFonts w:ascii="Times New Roman" w:hAnsi="Times New Roman"/>
              </w:rPr>
            </w:pPr>
            <w:r>
              <w:rPr/>
              <w:t>1,50</w:t>
            </w:r>
          </w:p>
        </w:tc>
        <w:tc>
          <w:tcPr>
            <w:tcW w:w="21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rPr>
                <w:rFonts w:ascii="Times New Roman" w:hAnsi="Times New Roman"/>
              </w:rPr>
            </w:pPr>
            <w:r>
              <w:rPr/>
              <w:t>1,00</w:t>
            </w:r>
          </w:p>
        </w:tc>
        <w:tc>
          <w:tcPr>
            <w:tcW w:w="28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rPr>
                <w:rFonts w:ascii="Times New Roman" w:hAnsi="Times New Roman"/>
              </w:rPr>
            </w:pPr>
            <w:r>
              <w:rPr/>
              <w:t>Rezydencje, hotele, biura</w:t>
            </w:r>
          </w:p>
        </w:tc>
      </w:tr>
      <w:tr>
        <w:trPr/>
        <w:tc>
          <w:tcPr>
            <w:tcW w:w="16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rPr>
                <w:rFonts w:ascii="Times New Roman" w:hAnsi="Times New Roman"/>
              </w:rPr>
            </w:pPr>
            <w:r>
              <w:rPr/>
              <w:t>2500</w:t>
            </w:r>
          </w:p>
        </w:tc>
        <w:tc>
          <w:tcPr>
            <w:tcW w:w="21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rPr>
                <w:rFonts w:ascii="Times New Roman" w:hAnsi="Times New Roman"/>
              </w:rPr>
            </w:pPr>
            <w:r>
              <w:rPr/>
              <w:t>1,90</w:t>
            </w:r>
          </w:p>
        </w:tc>
        <w:tc>
          <w:tcPr>
            <w:tcW w:w="21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rPr>
                <w:rFonts w:ascii="Times New Roman" w:hAnsi="Times New Roman"/>
              </w:rPr>
            </w:pPr>
            <w:r>
              <w:rPr/>
              <w:t>1,22</w:t>
            </w:r>
          </w:p>
        </w:tc>
        <w:tc>
          <w:tcPr>
            <w:tcW w:w="28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rPr>
                <w:rFonts w:ascii="Times New Roman" w:hAnsi="Times New Roman"/>
              </w:rPr>
            </w:pPr>
            <w:r>
              <w:rPr/>
              <w:t>Fabryki maszyn i silników</w:t>
            </w:r>
          </w:p>
        </w:tc>
      </w:tr>
      <w:tr>
        <w:trPr/>
        <w:tc>
          <w:tcPr>
            <w:tcW w:w="16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rPr>
                <w:rFonts w:ascii="Times New Roman" w:hAnsi="Times New Roman"/>
              </w:rPr>
            </w:pPr>
            <w:r>
              <w:rPr/>
              <w:t>5000</w:t>
            </w:r>
          </w:p>
        </w:tc>
        <w:tc>
          <w:tcPr>
            <w:tcW w:w="21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rPr>
                <w:rFonts w:ascii="Times New Roman" w:hAnsi="Times New Roman"/>
              </w:rPr>
            </w:pPr>
            <w:r>
              <w:rPr/>
              <w:t>2,00</w:t>
            </w:r>
          </w:p>
        </w:tc>
        <w:tc>
          <w:tcPr>
            <w:tcW w:w="21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rPr>
                <w:rFonts w:ascii="Times New Roman" w:hAnsi="Times New Roman"/>
              </w:rPr>
            </w:pPr>
            <w:r>
              <w:rPr/>
              <w:t>1,44</w:t>
            </w:r>
          </w:p>
        </w:tc>
        <w:tc>
          <w:tcPr>
            <w:tcW w:w="28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rPr>
                <w:rFonts w:ascii="Times New Roman" w:hAnsi="Times New Roman"/>
              </w:rPr>
            </w:pPr>
            <w:r>
              <w:rPr/>
              <w:t>Laboratoria chemiczne, warsztaty malarskie</w:t>
            </w:r>
          </w:p>
        </w:tc>
      </w:tr>
      <w:tr>
        <w:trPr/>
        <w:tc>
          <w:tcPr>
            <w:tcW w:w="16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rPr>
                <w:rFonts w:ascii="Times New Roman" w:hAnsi="Times New Roman"/>
              </w:rPr>
            </w:pPr>
            <w:r>
              <w:rPr/>
              <w:t>10000</w:t>
            </w:r>
          </w:p>
        </w:tc>
        <w:tc>
          <w:tcPr>
            <w:tcW w:w="21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rPr>
                <w:rFonts w:ascii="Times New Roman" w:hAnsi="Times New Roman"/>
              </w:rPr>
            </w:pPr>
            <w:r>
              <w:rPr/>
              <w:t>2,13</w:t>
            </w:r>
          </w:p>
        </w:tc>
        <w:tc>
          <w:tcPr>
            <w:tcW w:w="212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rPr>
                <w:rFonts w:ascii="Times New Roman" w:hAnsi="Times New Roman"/>
              </w:rPr>
            </w:pPr>
            <w:r>
              <w:rPr/>
              <w:t>1,66</w:t>
            </w:r>
          </w:p>
        </w:tc>
        <w:tc>
          <w:tcPr>
            <w:tcW w:w="28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rPr>
                <w:rFonts w:ascii="Times New Roman" w:hAnsi="Times New Roman"/>
              </w:rPr>
            </w:pPr>
            <w:r>
              <w:rPr/>
              <w:t>Fabryki sztucznych ogni i farb</w:t>
            </w:r>
          </w:p>
        </w:tc>
      </w:tr>
    </w:tbl>
    <w:p>
      <w:pPr>
        <w:pStyle w:val="Normal"/>
        <w:ind w:hanging="0" w:left="0"/>
        <w:rPr>
          <w:rFonts w:ascii="Times New Roman" w:hAnsi="Times New Roman"/>
        </w:rPr>
      </w:pPr>
      <w:r>
        <w:rPr/>
        <w:t>Współczynnik uwzględniający niebezpieczeństwo pojawienia się pożaru ze względu na powierzchnię rozpatrywanej strefy odczytano z Tablicy E.1, za pomocą interpolacji liniowej i wynosi 1,2</w:t>
      </w:r>
    </w:p>
    <w:p>
      <w:pPr>
        <w:pStyle w:val="Normal"/>
        <w:ind w:hanging="0" w:left="0"/>
        <w:rPr>
          <w:rFonts w:ascii="Times New Roman" w:hAnsi="Times New Roman"/>
        </w:rPr>
      </w:pPr>
      <w:r>
        <w:rPr/>
        <w:t>Wartości charakteryzujące czynne środki ochrony przeciwpożarowej δ</w:t>
      </w:r>
      <w:r>
        <w:rPr>
          <w:vertAlign w:val="subscript"/>
        </w:rPr>
        <w:t>ni</w:t>
      </w:r>
      <w:r>
        <w:rPr/>
        <w:t xml:space="preserve"> </w:t>
      </w:r>
    </w:p>
    <w:tbl>
      <w:tblPr>
        <w:tblW w:w="8733" w:type="dxa"/>
        <w:jc w:val="left"/>
        <w:tblInd w:w="0" w:type="dxa"/>
        <w:tblLayout w:type="fixed"/>
        <w:tblCellMar>
          <w:top w:w="0" w:type="dxa"/>
          <w:left w:w="108" w:type="dxa"/>
          <w:bottom w:w="0" w:type="dxa"/>
          <w:right w:w="108" w:type="dxa"/>
        </w:tblCellMar>
      </w:tblPr>
      <w:tblGrid>
        <w:gridCol w:w="817"/>
        <w:gridCol w:w="517"/>
        <w:gridCol w:w="690"/>
        <w:gridCol w:w="618"/>
        <w:gridCol w:w="1079"/>
        <w:gridCol w:w="999"/>
        <w:gridCol w:w="850"/>
        <w:gridCol w:w="619"/>
        <w:gridCol w:w="620"/>
        <w:gridCol w:w="635"/>
        <w:gridCol w:w="634"/>
        <w:gridCol w:w="655"/>
      </w:tblGrid>
      <w:tr>
        <w:trPr/>
        <w:tc>
          <w:tcPr>
            <w:tcW w:w="2642" w:type="dxa"/>
            <w:gridSpan w:val="4"/>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before="0" w:after="200"/>
              <w:ind w:hanging="0" w:left="0" w:right="0"/>
              <w:jc w:val="center"/>
              <w:rPr>
                <w:rFonts w:ascii="Times New Roman" w:hAnsi="Times New Roman"/>
                <w:sz w:val="22"/>
              </w:rPr>
            </w:pPr>
            <w:r>
              <w:rPr>
                <w:sz w:val="22"/>
              </w:rPr>
              <w:t>Stałe automatyczne urządzenia gaśnicze</w:t>
            </w:r>
          </w:p>
        </w:tc>
        <w:tc>
          <w:tcPr>
            <w:tcW w:w="2928" w:type="dxa"/>
            <w:gridSpan w:val="3"/>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before="0" w:after="200"/>
              <w:ind w:hanging="0" w:left="0" w:right="0"/>
              <w:jc w:val="center"/>
              <w:rPr>
                <w:rFonts w:ascii="Times New Roman" w:hAnsi="Times New Roman"/>
                <w:sz w:val="22"/>
              </w:rPr>
            </w:pPr>
            <w:r>
              <w:rPr>
                <w:sz w:val="22"/>
              </w:rPr>
              <w:t>Samoczynne wykrywanie pożaru</w:t>
            </w:r>
          </w:p>
        </w:tc>
        <w:tc>
          <w:tcPr>
            <w:tcW w:w="3163" w:type="dxa"/>
            <w:gridSpan w:val="5"/>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before="0" w:after="200"/>
              <w:ind w:hanging="0" w:left="0" w:right="0"/>
              <w:jc w:val="center"/>
              <w:rPr>
                <w:rFonts w:ascii="Times New Roman" w:hAnsi="Times New Roman"/>
                <w:sz w:val="22"/>
              </w:rPr>
            </w:pPr>
            <w:r>
              <w:rPr>
                <w:sz w:val="22"/>
              </w:rPr>
              <w:t>Gaszenie pożaru siłami ludzkimi</w:t>
            </w:r>
          </w:p>
        </w:tc>
      </w:tr>
      <w:tr>
        <w:trPr/>
        <w:tc>
          <w:tcPr>
            <w:tcW w:w="817" w:type="dxa"/>
            <w:vMerge w:val="restart"/>
            <w:tcBorders>
              <w:top w:val="single" w:sz="4" w:space="0" w:color="000000"/>
              <w:left w:val="single" w:sz="4" w:space="0" w:color="000000"/>
              <w:bottom w:val="single" w:sz="4" w:space="0" w:color="000000"/>
              <w:right w:val="single" w:sz="4" w:space="0" w:color="000000"/>
            </w:tcBorders>
            <w:shd w:fill="D9D9D9" w:val="clear"/>
            <w:textDirection w:val="btLr"/>
            <w:vAlign w:val="center"/>
          </w:tcPr>
          <w:p>
            <w:pPr>
              <w:pStyle w:val="Normal"/>
              <w:widowControl w:val="false"/>
              <w:spacing w:before="0" w:after="200"/>
              <w:ind w:hanging="0" w:left="113" w:right="113"/>
              <w:jc w:val="center"/>
              <w:rPr>
                <w:rFonts w:ascii="Times New Roman" w:hAnsi="Times New Roman"/>
                <w:sz w:val="22"/>
              </w:rPr>
            </w:pPr>
            <w:r>
              <w:rPr>
                <w:sz w:val="22"/>
              </w:rPr>
              <w:t>Samoczynne urządzenia gaśnicze wodne</w:t>
            </w:r>
          </w:p>
        </w:tc>
        <w:tc>
          <w:tcPr>
            <w:tcW w:w="1825" w:type="dxa"/>
            <w:gridSpan w:val="3"/>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before="0" w:after="200"/>
              <w:ind w:hanging="0" w:left="0" w:right="0"/>
              <w:jc w:val="center"/>
              <w:rPr>
                <w:rFonts w:ascii="Times New Roman" w:hAnsi="Times New Roman"/>
                <w:sz w:val="22"/>
              </w:rPr>
            </w:pPr>
            <w:r>
              <w:rPr>
                <w:sz w:val="22"/>
              </w:rPr>
              <w:t>Niezależne zaopatrzenie w wodę</w:t>
            </w:r>
          </w:p>
        </w:tc>
        <w:tc>
          <w:tcPr>
            <w:tcW w:w="2078" w:type="dxa"/>
            <w:gridSpan w:val="2"/>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before="0" w:after="200"/>
              <w:ind w:hanging="0" w:left="0" w:right="0"/>
              <w:jc w:val="center"/>
              <w:rPr>
                <w:rFonts w:ascii="Times New Roman" w:hAnsi="Times New Roman"/>
                <w:sz w:val="22"/>
              </w:rPr>
            </w:pPr>
            <w:r>
              <w:rPr>
                <w:sz w:val="22"/>
              </w:rPr>
              <w:t>Samoczynna detekcja pożaru I alarm pożarowy</w:t>
            </w:r>
          </w:p>
        </w:tc>
        <w:tc>
          <w:tcPr>
            <w:tcW w:w="850" w:type="dxa"/>
            <w:vMerge w:val="restart"/>
            <w:tcBorders>
              <w:top w:val="single" w:sz="4" w:space="0" w:color="000000"/>
              <w:left w:val="single" w:sz="4" w:space="0" w:color="000000"/>
              <w:bottom w:val="single" w:sz="4" w:space="0" w:color="000000"/>
              <w:right w:val="single" w:sz="4" w:space="0" w:color="000000"/>
            </w:tcBorders>
            <w:shd w:fill="D9D9D9" w:val="clear"/>
            <w:textDirection w:val="btLr"/>
            <w:vAlign w:val="center"/>
          </w:tcPr>
          <w:p>
            <w:pPr>
              <w:pStyle w:val="Normal"/>
              <w:widowControl w:val="false"/>
              <w:spacing w:before="0" w:after="200"/>
              <w:ind w:hanging="0" w:left="113" w:right="113"/>
              <w:jc w:val="center"/>
              <w:rPr>
                <w:rFonts w:ascii="Times New Roman" w:hAnsi="Times New Roman"/>
                <w:sz w:val="22"/>
              </w:rPr>
            </w:pPr>
            <w:r>
              <w:rPr>
                <w:sz w:val="22"/>
              </w:rPr>
              <w:t>Samoczynna transmisja alarmu pożarowego do straży pożarnej</w:t>
            </w:r>
          </w:p>
        </w:tc>
        <w:tc>
          <w:tcPr>
            <w:tcW w:w="619" w:type="dxa"/>
            <w:vMerge w:val="restart"/>
            <w:tcBorders>
              <w:top w:val="single" w:sz="4" w:space="0" w:color="000000"/>
              <w:left w:val="single" w:sz="4" w:space="0" w:color="000000"/>
              <w:bottom w:val="single" w:sz="4" w:space="0" w:color="000000"/>
              <w:right w:val="single" w:sz="4" w:space="0" w:color="000000"/>
            </w:tcBorders>
            <w:shd w:fill="D9D9D9" w:val="clear"/>
            <w:textDirection w:val="btLr"/>
            <w:vAlign w:val="center"/>
          </w:tcPr>
          <w:p>
            <w:pPr>
              <w:pStyle w:val="Normal"/>
              <w:widowControl w:val="false"/>
              <w:spacing w:lineRule="auto" w:line="240" w:before="0" w:after="200"/>
              <w:ind w:hanging="0" w:left="113" w:right="113"/>
              <w:jc w:val="center"/>
              <w:rPr>
                <w:rFonts w:ascii="Times New Roman" w:hAnsi="Times New Roman"/>
                <w:sz w:val="22"/>
              </w:rPr>
            </w:pPr>
            <w:r>
              <w:rPr>
                <w:sz w:val="22"/>
              </w:rPr>
              <w:t>Zakładowa zawodowa straż pożarna</w:t>
            </w:r>
          </w:p>
        </w:tc>
        <w:tc>
          <w:tcPr>
            <w:tcW w:w="620" w:type="dxa"/>
            <w:vMerge w:val="restart"/>
            <w:tcBorders>
              <w:top w:val="single" w:sz="4" w:space="0" w:color="000000"/>
              <w:left w:val="single" w:sz="4" w:space="0" w:color="000000"/>
              <w:bottom w:val="single" w:sz="4" w:space="0" w:color="000000"/>
              <w:right w:val="single" w:sz="4" w:space="0" w:color="000000"/>
            </w:tcBorders>
            <w:shd w:fill="D9D9D9" w:val="clear"/>
            <w:textDirection w:val="btLr"/>
            <w:vAlign w:val="center"/>
          </w:tcPr>
          <w:p>
            <w:pPr>
              <w:pStyle w:val="Normal"/>
              <w:widowControl w:val="false"/>
              <w:spacing w:lineRule="auto" w:line="240" w:before="0" w:after="200"/>
              <w:ind w:hanging="0" w:left="113" w:right="113"/>
              <w:jc w:val="center"/>
              <w:rPr>
                <w:rFonts w:ascii="Times New Roman" w:hAnsi="Times New Roman"/>
                <w:sz w:val="22"/>
              </w:rPr>
            </w:pPr>
            <w:r>
              <w:rPr>
                <w:sz w:val="22"/>
              </w:rPr>
              <w:t>Zewnętrzna publiczna straż pożarna</w:t>
            </w:r>
          </w:p>
        </w:tc>
        <w:tc>
          <w:tcPr>
            <w:tcW w:w="635" w:type="dxa"/>
            <w:vMerge w:val="restart"/>
            <w:tcBorders>
              <w:top w:val="single" w:sz="4" w:space="0" w:color="000000"/>
              <w:left w:val="single" w:sz="4" w:space="0" w:color="000000"/>
              <w:bottom w:val="single" w:sz="4" w:space="0" w:color="000000"/>
              <w:right w:val="single" w:sz="4" w:space="0" w:color="000000"/>
            </w:tcBorders>
            <w:shd w:fill="D9D9D9" w:val="clear"/>
            <w:textDirection w:val="btLr"/>
            <w:vAlign w:val="center"/>
          </w:tcPr>
          <w:p>
            <w:pPr>
              <w:pStyle w:val="Normal"/>
              <w:widowControl w:val="false"/>
              <w:spacing w:lineRule="auto" w:line="240" w:before="0" w:after="200"/>
              <w:ind w:hanging="0" w:left="113" w:right="113"/>
              <w:jc w:val="center"/>
              <w:rPr>
                <w:rFonts w:ascii="Times New Roman" w:hAnsi="Times New Roman"/>
                <w:sz w:val="22"/>
              </w:rPr>
            </w:pPr>
            <w:r>
              <w:rPr>
                <w:sz w:val="22"/>
              </w:rPr>
              <w:t>Bezpieczne pożarowe drogi dostępu</w:t>
            </w:r>
          </w:p>
        </w:tc>
        <w:tc>
          <w:tcPr>
            <w:tcW w:w="634" w:type="dxa"/>
            <w:vMerge w:val="restart"/>
            <w:tcBorders>
              <w:top w:val="single" w:sz="4" w:space="0" w:color="000000"/>
              <w:left w:val="single" w:sz="4" w:space="0" w:color="000000"/>
              <w:bottom w:val="single" w:sz="4" w:space="0" w:color="000000"/>
              <w:right w:val="single" w:sz="4" w:space="0" w:color="000000"/>
            </w:tcBorders>
            <w:shd w:fill="D9D9D9" w:val="clear"/>
            <w:textDirection w:val="btLr"/>
            <w:vAlign w:val="center"/>
          </w:tcPr>
          <w:p>
            <w:pPr>
              <w:pStyle w:val="Normal"/>
              <w:widowControl w:val="false"/>
              <w:spacing w:lineRule="auto" w:line="240" w:before="0" w:after="200"/>
              <w:ind w:hanging="0" w:left="113" w:right="113"/>
              <w:jc w:val="center"/>
              <w:rPr>
                <w:rFonts w:ascii="Times New Roman" w:hAnsi="Times New Roman"/>
                <w:sz w:val="22"/>
              </w:rPr>
            </w:pPr>
            <w:r>
              <w:rPr>
                <w:sz w:val="22"/>
              </w:rPr>
              <w:t>Urządzenia przeciwpożarowe</w:t>
            </w:r>
          </w:p>
        </w:tc>
        <w:tc>
          <w:tcPr>
            <w:tcW w:w="655" w:type="dxa"/>
            <w:vMerge w:val="restart"/>
            <w:tcBorders>
              <w:top w:val="single" w:sz="4" w:space="0" w:color="000000"/>
              <w:left w:val="single" w:sz="4" w:space="0" w:color="000000"/>
              <w:bottom w:val="single" w:sz="4" w:space="0" w:color="000000"/>
              <w:right w:val="single" w:sz="4" w:space="0" w:color="000000"/>
            </w:tcBorders>
            <w:shd w:fill="D9D9D9" w:val="clear"/>
            <w:textDirection w:val="btLr"/>
            <w:vAlign w:val="center"/>
          </w:tcPr>
          <w:p>
            <w:pPr>
              <w:pStyle w:val="Normal"/>
              <w:widowControl w:val="false"/>
              <w:spacing w:lineRule="auto" w:line="240" w:before="0" w:after="200"/>
              <w:ind w:hanging="0" w:left="113" w:right="113"/>
              <w:jc w:val="center"/>
              <w:rPr>
                <w:rFonts w:ascii="Times New Roman" w:hAnsi="Times New Roman"/>
                <w:sz w:val="22"/>
              </w:rPr>
            </w:pPr>
            <w:r>
              <w:rPr>
                <w:sz w:val="22"/>
              </w:rPr>
              <w:t>System oddymiania</w:t>
            </w:r>
          </w:p>
        </w:tc>
      </w:tr>
      <w:tr>
        <w:trPr>
          <w:trHeight w:val="5639" w:hRule="atLeast"/>
        </w:trPr>
        <w:tc>
          <w:tcPr>
            <w:tcW w:w="817" w:type="dxa"/>
            <w:vMerge w:val="continue"/>
            <w:tcBorders>
              <w:top w:val="single" w:sz="4" w:space="0" w:color="000000"/>
              <w:left w:val="single" w:sz="4" w:space="0" w:color="000000"/>
              <w:bottom w:val="single" w:sz="4" w:space="0" w:color="000000"/>
              <w:right w:val="single" w:sz="4" w:space="0" w:color="000000"/>
            </w:tcBorders>
            <w:shd w:fill="D9D9D9" w:val="clear"/>
            <w:textDirection w:val="btLr"/>
            <w:vAlign w:val="center"/>
          </w:tcPr>
          <w:p>
            <w:pPr>
              <w:pStyle w:val="Normal"/>
              <w:widowControl w:val="false"/>
              <w:numPr>
                <w:ilvl w:val="0"/>
                <w:numId w:val="0"/>
              </w:numPr>
              <w:suppressAutoHyphens w:val="true"/>
              <w:bidi w:val="0"/>
              <w:spacing w:lineRule="auto" w:line="276" w:before="0" w:after="200"/>
              <w:ind w:hanging="0" w:left="0"/>
              <w:rPr/>
            </w:pPr>
            <w:r>
              <w:rPr/>
            </w:r>
          </w:p>
        </w:tc>
        <w:tc>
          <w:tcPr>
            <w:tcW w:w="517"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lineRule="auto" w:line="240" w:before="0" w:after="200"/>
              <w:ind w:hanging="0" w:left="0" w:right="0"/>
              <w:jc w:val="center"/>
              <w:rPr>
                <w:rFonts w:ascii="Times New Roman" w:hAnsi="Times New Roman"/>
                <w:sz w:val="22"/>
              </w:rPr>
            </w:pPr>
            <w:r>
              <w:rPr>
                <w:sz w:val="22"/>
              </w:rPr>
              <w:t>0</w:t>
            </w:r>
          </w:p>
        </w:tc>
        <w:tc>
          <w:tcPr>
            <w:tcW w:w="690"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lineRule="auto" w:line="240" w:before="0" w:after="200"/>
              <w:ind w:hanging="0" w:left="0" w:right="0"/>
              <w:jc w:val="center"/>
              <w:rPr>
                <w:rFonts w:ascii="Times New Roman" w:hAnsi="Times New Roman"/>
                <w:sz w:val="22"/>
              </w:rPr>
            </w:pPr>
            <w:r>
              <w:rPr>
                <w:sz w:val="22"/>
              </w:rPr>
              <w:t>1</w:t>
            </w:r>
          </w:p>
        </w:tc>
        <w:tc>
          <w:tcPr>
            <w:tcW w:w="618"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lineRule="auto" w:line="240" w:before="0" w:after="200"/>
              <w:ind w:hanging="0" w:left="0" w:right="0"/>
              <w:jc w:val="center"/>
              <w:rPr>
                <w:rFonts w:ascii="Times New Roman" w:hAnsi="Times New Roman"/>
                <w:sz w:val="22"/>
              </w:rPr>
            </w:pPr>
            <w:r>
              <w:rPr>
                <w:sz w:val="22"/>
              </w:rPr>
              <w:t>2</w:t>
            </w:r>
          </w:p>
        </w:tc>
        <w:tc>
          <w:tcPr>
            <w:tcW w:w="1079"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before="0" w:after="200"/>
              <w:ind w:hanging="0" w:left="0" w:right="0"/>
              <w:jc w:val="center"/>
              <w:rPr>
                <w:rFonts w:ascii="Times New Roman" w:hAnsi="Times New Roman"/>
                <w:sz w:val="22"/>
              </w:rPr>
            </w:pPr>
            <w:r>
              <w:rPr>
                <w:sz w:val="22"/>
              </w:rPr>
              <w:t>Detekcja ciepła</w:t>
            </w:r>
          </w:p>
        </w:tc>
        <w:tc>
          <w:tcPr>
            <w:tcW w:w="999"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before="0" w:after="200"/>
              <w:ind w:hanging="0" w:left="0" w:right="0"/>
              <w:jc w:val="center"/>
              <w:rPr>
                <w:rFonts w:ascii="Times New Roman" w:hAnsi="Times New Roman"/>
                <w:sz w:val="22"/>
              </w:rPr>
            </w:pPr>
            <w:r>
              <w:rPr>
                <w:sz w:val="22"/>
              </w:rPr>
              <w:t>Detekcja dymu</w:t>
            </w:r>
          </w:p>
        </w:tc>
        <w:tc>
          <w:tcPr>
            <w:tcW w:w="850" w:type="dxa"/>
            <w:vMerge w:val="continue"/>
            <w:tcBorders>
              <w:top w:val="single" w:sz="4" w:space="0" w:color="000000"/>
              <w:left w:val="single" w:sz="4" w:space="0" w:color="000000"/>
              <w:bottom w:val="single" w:sz="4" w:space="0" w:color="000000"/>
              <w:right w:val="single" w:sz="4" w:space="0" w:color="000000"/>
            </w:tcBorders>
            <w:shd w:fill="D9D9D9" w:val="clear"/>
            <w:textDirection w:val="btLr"/>
            <w:vAlign w:val="center"/>
          </w:tcPr>
          <w:p>
            <w:pPr>
              <w:pStyle w:val="Normal"/>
              <w:widowControl w:val="false"/>
              <w:numPr>
                <w:ilvl w:val="0"/>
                <w:numId w:val="0"/>
              </w:numPr>
              <w:suppressAutoHyphens w:val="true"/>
              <w:bidi w:val="0"/>
              <w:spacing w:lineRule="auto" w:line="276" w:before="0" w:after="200"/>
              <w:ind w:hanging="0" w:left="0"/>
              <w:rPr/>
            </w:pPr>
            <w:r>
              <w:rPr/>
            </w:r>
          </w:p>
        </w:tc>
        <w:tc>
          <w:tcPr>
            <w:tcW w:w="619" w:type="dxa"/>
            <w:vMerge w:val="continue"/>
            <w:tcBorders>
              <w:top w:val="single" w:sz="4" w:space="0" w:color="000000"/>
              <w:left w:val="single" w:sz="4" w:space="0" w:color="000000"/>
              <w:bottom w:val="single" w:sz="4" w:space="0" w:color="000000"/>
              <w:right w:val="single" w:sz="4" w:space="0" w:color="000000"/>
            </w:tcBorders>
            <w:shd w:fill="D9D9D9" w:val="clear"/>
            <w:textDirection w:val="btLr"/>
            <w:vAlign w:val="center"/>
          </w:tcPr>
          <w:p>
            <w:pPr>
              <w:pStyle w:val="Normal"/>
              <w:widowControl w:val="false"/>
              <w:numPr>
                <w:ilvl w:val="0"/>
                <w:numId w:val="0"/>
              </w:numPr>
              <w:suppressAutoHyphens w:val="true"/>
              <w:bidi w:val="0"/>
              <w:spacing w:lineRule="auto" w:line="276" w:before="0" w:after="200"/>
              <w:ind w:hanging="0" w:left="0"/>
              <w:rPr/>
            </w:pPr>
            <w:r>
              <w:rPr/>
            </w:r>
          </w:p>
        </w:tc>
        <w:tc>
          <w:tcPr>
            <w:tcW w:w="620" w:type="dxa"/>
            <w:vMerge w:val="continue"/>
            <w:tcBorders>
              <w:top w:val="single" w:sz="4" w:space="0" w:color="000000"/>
              <w:left w:val="single" w:sz="4" w:space="0" w:color="000000"/>
              <w:bottom w:val="single" w:sz="4" w:space="0" w:color="000000"/>
              <w:right w:val="single" w:sz="4" w:space="0" w:color="000000"/>
            </w:tcBorders>
            <w:shd w:fill="D9D9D9" w:val="clear"/>
            <w:textDirection w:val="btLr"/>
            <w:vAlign w:val="center"/>
          </w:tcPr>
          <w:p>
            <w:pPr>
              <w:pStyle w:val="Normal"/>
              <w:widowControl w:val="false"/>
              <w:numPr>
                <w:ilvl w:val="0"/>
                <w:numId w:val="0"/>
              </w:numPr>
              <w:suppressAutoHyphens w:val="true"/>
              <w:bidi w:val="0"/>
              <w:spacing w:lineRule="auto" w:line="276" w:before="0" w:after="200"/>
              <w:ind w:hanging="0" w:left="0"/>
              <w:rPr/>
            </w:pPr>
            <w:r>
              <w:rPr/>
            </w:r>
          </w:p>
        </w:tc>
        <w:tc>
          <w:tcPr>
            <w:tcW w:w="635" w:type="dxa"/>
            <w:vMerge w:val="continue"/>
            <w:tcBorders>
              <w:top w:val="single" w:sz="4" w:space="0" w:color="000000"/>
              <w:left w:val="single" w:sz="4" w:space="0" w:color="000000"/>
              <w:bottom w:val="single" w:sz="4" w:space="0" w:color="000000"/>
              <w:right w:val="single" w:sz="4" w:space="0" w:color="000000"/>
            </w:tcBorders>
            <w:shd w:fill="D9D9D9" w:val="clear"/>
            <w:textDirection w:val="btLr"/>
            <w:vAlign w:val="center"/>
          </w:tcPr>
          <w:p>
            <w:pPr>
              <w:pStyle w:val="Normal"/>
              <w:widowControl w:val="false"/>
              <w:numPr>
                <w:ilvl w:val="0"/>
                <w:numId w:val="0"/>
              </w:numPr>
              <w:suppressAutoHyphens w:val="true"/>
              <w:bidi w:val="0"/>
              <w:spacing w:lineRule="auto" w:line="276" w:before="0" w:after="200"/>
              <w:ind w:hanging="0" w:left="0"/>
              <w:rPr/>
            </w:pPr>
            <w:r>
              <w:rPr/>
            </w:r>
          </w:p>
        </w:tc>
        <w:tc>
          <w:tcPr>
            <w:tcW w:w="634" w:type="dxa"/>
            <w:vMerge w:val="continue"/>
            <w:tcBorders>
              <w:top w:val="single" w:sz="4" w:space="0" w:color="000000"/>
              <w:left w:val="single" w:sz="4" w:space="0" w:color="000000"/>
              <w:bottom w:val="single" w:sz="4" w:space="0" w:color="000000"/>
              <w:right w:val="single" w:sz="4" w:space="0" w:color="000000"/>
            </w:tcBorders>
            <w:shd w:fill="D9D9D9" w:val="clear"/>
            <w:textDirection w:val="btLr"/>
            <w:vAlign w:val="center"/>
          </w:tcPr>
          <w:p>
            <w:pPr>
              <w:pStyle w:val="Normal"/>
              <w:widowControl w:val="false"/>
              <w:numPr>
                <w:ilvl w:val="0"/>
                <w:numId w:val="0"/>
              </w:numPr>
              <w:suppressAutoHyphens w:val="true"/>
              <w:bidi w:val="0"/>
              <w:spacing w:lineRule="auto" w:line="276" w:before="0" w:after="200"/>
              <w:ind w:hanging="0" w:left="0"/>
              <w:rPr/>
            </w:pPr>
            <w:r>
              <w:rPr/>
            </w:r>
          </w:p>
        </w:tc>
        <w:tc>
          <w:tcPr>
            <w:tcW w:w="655" w:type="dxa"/>
            <w:vMerge w:val="continue"/>
            <w:tcBorders>
              <w:top w:val="single" w:sz="4" w:space="0" w:color="000000"/>
              <w:left w:val="single" w:sz="4" w:space="0" w:color="000000"/>
              <w:bottom w:val="single" w:sz="4" w:space="0" w:color="000000"/>
              <w:right w:val="single" w:sz="4" w:space="0" w:color="000000"/>
            </w:tcBorders>
            <w:shd w:fill="D9D9D9" w:val="clear"/>
            <w:textDirection w:val="btLr"/>
            <w:vAlign w:val="center"/>
          </w:tcPr>
          <w:p>
            <w:pPr>
              <w:pStyle w:val="Normal"/>
              <w:widowControl w:val="false"/>
              <w:numPr>
                <w:ilvl w:val="0"/>
                <w:numId w:val="0"/>
              </w:numPr>
              <w:suppressAutoHyphens w:val="true"/>
              <w:bidi w:val="0"/>
              <w:spacing w:lineRule="auto" w:line="276" w:before="0" w:after="200"/>
              <w:ind w:hanging="0" w:left="0"/>
              <w:rPr/>
            </w:pPr>
            <w:r>
              <w:rPr/>
            </w:r>
          </w:p>
        </w:tc>
      </w:tr>
      <w:tr>
        <w:trPr/>
        <w:tc>
          <w:tcPr>
            <w:tcW w:w="817"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before="0" w:after="200"/>
              <w:ind w:hanging="0" w:left="0" w:right="0"/>
              <w:jc w:val="center"/>
              <w:rPr>
                <w:rFonts w:ascii="Times New Roman" w:hAnsi="Times New Roman"/>
              </w:rPr>
            </w:pPr>
            <w:r>
              <w:rPr>
                <w:sz w:val="22"/>
              </w:rPr>
              <w:t>δ</w:t>
            </w:r>
            <w:r>
              <w:rPr>
                <w:sz w:val="22"/>
                <w:vertAlign w:val="subscript"/>
              </w:rPr>
              <w:t>n1</w:t>
            </w:r>
          </w:p>
        </w:tc>
        <w:tc>
          <w:tcPr>
            <w:tcW w:w="1825" w:type="dxa"/>
            <w:gridSpan w:val="3"/>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lineRule="auto" w:line="240" w:before="0" w:after="200"/>
              <w:ind w:hanging="0" w:left="0" w:right="0"/>
              <w:jc w:val="center"/>
              <w:rPr>
                <w:rFonts w:ascii="Times New Roman" w:hAnsi="Times New Roman"/>
              </w:rPr>
            </w:pPr>
            <w:r>
              <w:rPr>
                <w:sz w:val="22"/>
              </w:rPr>
              <w:t>δ</w:t>
            </w:r>
            <w:r>
              <w:rPr>
                <w:sz w:val="22"/>
                <w:vertAlign w:val="subscript"/>
              </w:rPr>
              <w:t>n2</w:t>
            </w:r>
          </w:p>
        </w:tc>
        <w:tc>
          <w:tcPr>
            <w:tcW w:w="1079"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before="0" w:after="200"/>
              <w:ind w:hanging="0" w:left="0" w:right="0"/>
              <w:jc w:val="center"/>
              <w:rPr>
                <w:rFonts w:ascii="Times New Roman" w:hAnsi="Times New Roman"/>
              </w:rPr>
            </w:pPr>
            <w:r>
              <w:rPr>
                <w:sz w:val="22"/>
              </w:rPr>
              <w:t>δ</w:t>
            </w:r>
            <w:r>
              <w:rPr>
                <w:sz w:val="22"/>
                <w:vertAlign w:val="subscript"/>
              </w:rPr>
              <w:t>n3</w:t>
            </w:r>
          </w:p>
        </w:tc>
        <w:tc>
          <w:tcPr>
            <w:tcW w:w="999"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before="0" w:after="200"/>
              <w:ind w:hanging="0" w:left="0" w:right="0"/>
              <w:jc w:val="center"/>
              <w:rPr>
                <w:rFonts w:ascii="Times New Roman" w:hAnsi="Times New Roman"/>
              </w:rPr>
            </w:pPr>
            <w:r>
              <w:rPr>
                <w:sz w:val="22"/>
              </w:rPr>
              <w:t>δ</w:t>
            </w:r>
            <w:r>
              <w:rPr>
                <w:sz w:val="22"/>
                <w:vertAlign w:val="subscript"/>
              </w:rPr>
              <w:t>n4</w:t>
            </w:r>
          </w:p>
        </w:tc>
        <w:tc>
          <w:tcPr>
            <w:tcW w:w="850"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before="0" w:after="200"/>
              <w:ind w:hanging="0" w:left="0" w:right="0"/>
              <w:jc w:val="center"/>
              <w:rPr>
                <w:rFonts w:ascii="Times New Roman" w:hAnsi="Times New Roman"/>
              </w:rPr>
            </w:pPr>
            <w:r>
              <w:rPr>
                <w:sz w:val="22"/>
              </w:rPr>
              <w:t>δ</w:t>
            </w:r>
            <w:r>
              <w:rPr>
                <w:sz w:val="22"/>
                <w:vertAlign w:val="subscript"/>
              </w:rPr>
              <w:t>n5</w:t>
            </w:r>
          </w:p>
        </w:tc>
        <w:tc>
          <w:tcPr>
            <w:tcW w:w="619"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before="0" w:after="200"/>
              <w:ind w:hanging="0" w:left="0" w:right="0"/>
              <w:jc w:val="center"/>
              <w:rPr>
                <w:rFonts w:ascii="Times New Roman" w:hAnsi="Times New Roman"/>
              </w:rPr>
            </w:pPr>
            <w:r>
              <w:rPr>
                <w:sz w:val="22"/>
              </w:rPr>
              <w:t>δ</w:t>
            </w:r>
            <w:r>
              <w:rPr>
                <w:sz w:val="22"/>
                <w:vertAlign w:val="subscript"/>
              </w:rPr>
              <w:t>n6</w:t>
            </w:r>
          </w:p>
        </w:tc>
        <w:tc>
          <w:tcPr>
            <w:tcW w:w="620"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before="0" w:after="200"/>
              <w:ind w:hanging="0" w:left="0" w:right="0"/>
              <w:jc w:val="center"/>
              <w:rPr>
                <w:rFonts w:ascii="Times New Roman" w:hAnsi="Times New Roman"/>
              </w:rPr>
            </w:pPr>
            <w:r>
              <w:rPr>
                <w:sz w:val="22"/>
              </w:rPr>
              <w:t>δ</w:t>
            </w:r>
            <w:r>
              <w:rPr>
                <w:sz w:val="22"/>
                <w:vertAlign w:val="subscript"/>
              </w:rPr>
              <w:t>n7</w:t>
            </w:r>
          </w:p>
        </w:tc>
        <w:tc>
          <w:tcPr>
            <w:tcW w:w="635"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before="0" w:after="200"/>
              <w:ind w:hanging="0" w:left="0" w:right="0"/>
              <w:jc w:val="center"/>
              <w:rPr>
                <w:rFonts w:ascii="Times New Roman" w:hAnsi="Times New Roman"/>
              </w:rPr>
            </w:pPr>
            <w:r>
              <w:rPr>
                <w:sz w:val="22"/>
              </w:rPr>
              <w:t>δ</w:t>
            </w:r>
            <w:r>
              <w:rPr>
                <w:sz w:val="22"/>
                <w:vertAlign w:val="subscript"/>
              </w:rPr>
              <w:t>n8</w:t>
            </w:r>
          </w:p>
        </w:tc>
        <w:tc>
          <w:tcPr>
            <w:tcW w:w="634"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before="0" w:after="200"/>
              <w:ind w:hanging="0" w:left="0" w:right="0"/>
              <w:jc w:val="center"/>
              <w:rPr>
                <w:rFonts w:ascii="Times New Roman" w:hAnsi="Times New Roman"/>
              </w:rPr>
            </w:pPr>
            <w:r>
              <w:rPr>
                <w:sz w:val="22"/>
              </w:rPr>
              <w:t>δ</w:t>
            </w:r>
            <w:r>
              <w:rPr>
                <w:sz w:val="22"/>
                <w:vertAlign w:val="subscript"/>
              </w:rPr>
              <w:t>n9</w:t>
            </w:r>
          </w:p>
        </w:tc>
        <w:tc>
          <w:tcPr>
            <w:tcW w:w="655"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spacing w:before="0" w:after="200"/>
              <w:ind w:hanging="0" w:left="0" w:right="0"/>
              <w:jc w:val="center"/>
              <w:rPr>
                <w:rFonts w:ascii="Times New Roman" w:hAnsi="Times New Roman"/>
              </w:rPr>
            </w:pPr>
            <w:r>
              <w:rPr>
                <w:sz w:val="22"/>
              </w:rPr>
              <w:t>δ</w:t>
            </w:r>
            <w:r>
              <w:rPr>
                <w:sz w:val="22"/>
                <w:vertAlign w:val="subscript"/>
              </w:rPr>
              <w:t>n10</w:t>
            </w:r>
          </w:p>
        </w:tc>
      </w:tr>
      <w:tr>
        <w:trPr/>
        <w:tc>
          <w:tcPr>
            <w:tcW w:w="8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jc w:val="center"/>
              <w:rPr>
                <w:rFonts w:ascii="Times New Roman" w:hAnsi="Times New Roman"/>
                <w:sz w:val="22"/>
              </w:rPr>
            </w:pPr>
            <w:r>
              <w:rPr>
                <w:sz w:val="22"/>
              </w:rPr>
              <w:t>0,61</w:t>
            </w:r>
          </w:p>
        </w:tc>
        <w:tc>
          <w:tcPr>
            <w:tcW w:w="5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jc w:val="center"/>
              <w:rPr>
                <w:rFonts w:ascii="Times New Roman" w:hAnsi="Times New Roman"/>
                <w:sz w:val="22"/>
              </w:rPr>
            </w:pPr>
            <w:r>
              <w:rPr>
                <w:sz w:val="22"/>
              </w:rPr>
              <w:t>1,0</w:t>
            </w:r>
          </w:p>
        </w:tc>
        <w:tc>
          <w:tcPr>
            <w:tcW w:w="6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jc w:val="center"/>
              <w:rPr>
                <w:rFonts w:ascii="Times New Roman" w:hAnsi="Times New Roman"/>
                <w:sz w:val="22"/>
              </w:rPr>
            </w:pPr>
            <w:r>
              <w:rPr>
                <w:sz w:val="22"/>
              </w:rPr>
              <w:t>0,87</w:t>
            </w:r>
          </w:p>
        </w:tc>
        <w:tc>
          <w:tcPr>
            <w:tcW w:w="6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jc w:val="center"/>
              <w:rPr>
                <w:rFonts w:ascii="Times New Roman" w:hAnsi="Times New Roman"/>
                <w:sz w:val="22"/>
              </w:rPr>
            </w:pPr>
            <w:r>
              <w:rPr>
                <w:sz w:val="22"/>
              </w:rPr>
              <w:t>0,7</w:t>
            </w:r>
          </w:p>
        </w:tc>
        <w:tc>
          <w:tcPr>
            <w:tcW w:w="2078"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jc w:val="center"/>
              <w:rPr>
                <w:rFonts w:ascii="Times New Roman" w:hAnsi="Times New Roman"/>
                <w:sz w:val="22"/>
              </w:rPr>
            </w:pPr>
            <w:r>
              <w:rPr>
                <w:sz w:val="22"/>
              </w:rPr>
              <w:t>0,87 lub 0,73</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jc w:val="center"/>
              <w:rPr>
                <w:rFonts w:ascii="Times New Roman" w:hAnsi="Times New Roman"/>
                <w:sz w:val="22"/>
              </w:rPr>
            </w:pPr>
            <w:r>
              <w:rPr>
                <w:sz w:val="22"/>
              </w:rPr>
              <w:t>0,87</w:t>
            </w:r>
          </w:p>
        </w:tc>
        <w:tc>
          <w:tcPr>
            <w:tcW w:w="1239"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jc w:val="center"/>
              <w:rPr>
                <w:rFonts w:ascii="Times New Roman" w:hAnsi="Times New Roman"/>
                <w:sz w:val="22"/>
              </w:rPr>
            </w:pPr>
            <w:r>
              <w:rPr>
                <w:sz w:val="22"/>
              </w:rPr>
              <w:t>0,61 lub 0,78</w:t>
            </w:r>
          </w:p>
        </w:tc>
        <w:tc>
          <w:tcPr>
            <w:tcW w:w="6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jc w:val="center"/>
              <w:rPr>
                <w:rFonts w:ascii="Times New Roman" w:hAnsi="Times New Roman"/>
                <w:sz w:val="22"/>
              </w:rPr>
            </w:pPr>
            <w:r>
              <w:rPr>
                <w:sz w:val="22"/>
              </w:rPr>
              <w:t>0,9 lub 1,0 lub 1,5</w:t>
            </w:r>
          </w:p>
        </w:tc>
        <w:tc>
          <w:tcPr>
            <w:tcW w:w="6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jc w:val="center"/>
              <w:rPr>
                <w:rFonts w:ascii="Times New Roman" w:hAnsi="Times New Roman"/>
                <w:sz w:val="22"/>
              </w:rPr>
            </w:pPr>
            <w:r>
              <w:rPr>
                <w:sz w:val="22"/>
              </w:rPr>
              <w:t>1,0 lub 1,5</w:t>
            </w:r>
          </w:p>
        </w:tc>
        <w:tc>
          <w:tcPr>
            <w:tcW w:w="6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ind w:hanging="0" w:left="0" w:right="0"/>
              <w:jc w:val="center"/>
              <w:rPr>
                <w:rFonts w:ascii="Times New Roman" w:hAnsi="Times New Roman"/>
                <w:sz w:val="22"/>
              </w:rPr>
            </w:pPr>
            <w:r>
              <w:rPr>
                <w:sz w:val="22"/>
              </w:rPr>
              <w:t>1,0 lub 1,5</w:t>
            </w:r>
          </w:p>
        </w:tc>
      </w:tr>
    </w:tbl>
    <w:p>
      <w:pPr>
        <w:pStyle w:val="Normal"/>
        <w:ind w:hanging="0" w:left="0"/>
        <w:rPr>
          <w:rFonts w:ascii="Times New Roman" w:hAnsi="Times New Roman"/>
          <w:szCs w:val="24"/>
        </w:rPr>
      </w:pPr>
      <w:r>
        <w:rPr>
          <w:szCs w:val="24"/>
        </w:rPr>
      </w:r>
    </w:p>
    <w:p>
      <w:pPr>
        <w:pStyle w:val="Normal"/>
        <w:ind w:hanging="0" w:left="0"/>
        <w:rPr>
          <w:rFonts w:ascii="Times New Roman" w:hAnsi="Times New Roman"/>
          <w:szCs w:val="24"/>
        </w:rPr>
      </w:pPr>
      <w:r>
        <w:rPr>
          <w:szCs w:val="24"/>
        </w:rPr>
        <w:t>Współczynnik uwzględniający niebezpieczeństwo pojawienia się pożaru ze względu na powierzchnie strefy odczytano z Tabeli, za pomocą interpolacji liniowej.</w:t>
      </w:r>
    </w:p>
    <w:p>
      <w:pPr>
        <w:pStyle w:val="Normal"/>
        <w:ind w:hanging="0" w:left="0"/>
        <w:jc w:val="center"/>
        <w:rPr>
          <w:rFonts w:ascii="Times New Roman" w:hAnsi="Times New Roman"/>
          <w:szCs w:val="24"/>
        </w:rPr>
      </w:pPr>
      <w:r>
        <w:rPr/>
      </w:r>
      <m:oMathPara xmlns:m="http://schemas.openxmlformats.org/officeDocument/2006/math">
        <m:oMathParaPr>
          <m:jc m:val="center"/>
        </m:oMathParaPr>
        <m:oMath>
          <m:sSub>
            <m:e>
              <m:r>
                <w:rPr>
                  <w:rFonts w:ascii="Cambria Math" w:hAnsi="Cambria Math"/>
                </w:rPr>
                <m:t xml:space="preserve">q</m:t>
              </m:r>
            </m:e>
            <m:sub>
              <m:r>
                <w:rPr>
                  <w:rFonts w:ascii="Cambria Math" w:hAnsi="Cambria Math"/>
                </w:rPr>
                <m:t xml:space="preserve">f</m:t>
              </m:r>
              <m:r>
                <w:rPr>
                  <w:rFonts w:ascii="Cambria Math" w:hAnsi="Cambria Math"/>
                </w:rPr>
                <m:t xml:space="preserve">,</m:t>
              </m:r>
              <m:r>
                <w:rPr>
                  <w:rFonts w:ascii="Cambria Math" w:hAnsi="Cambria Math"/>
                </w:rPr>
                <m:t xml:space="preserve">d</m:t>
              </m:r>
            </m:sub>
          </m:sSub>
          <m:r>
            <m:rPr>
              <m:lit/>
              <m:nor/>
            </m:rPr>
            <w:rPr>
              <w:rFonts w:ascii="Cambria Math" w:hAnsi="Cambria Math"/>
            </w:rPr>
            <m:t xml:space="preserve">=</m:t>
          </m:r>
          <m:sSub>
            <m:e>
              <m:r>
                <w:rPr>
                  <w:rFonts w:ascii="Cambria Math" w:hAnsi="Cambria Math"/>
                </w:rPr>
                <m:t xml:space="preserve">δ</m:t>
              </m:r>
            </m:e>
            <m:sub>
              <m:r>
                <w:rPr>
                  <w:rFonts w:ascii="Cambria Math" w:hAnsi="Cambria Math"/>
                </w:rPr>
                <m:t xml:space="preserve">q</m:t>
              </m:r>
              <m:r>
                <w:rPr>
                  <w:rFonts w:ascii="Cambria Math" w:hAnsi="Cambria Math"/>
                </w:rPr>
                <m:t xml:space="preserve">1</m:t>
              </m:r>
            </m:sub>
          </m:sSub>
          <m:r>
            <w:rPr>
              <w:rFonts w:ascii="Cambria Math" w:hAnsi="Cambria Math"/>
            </w:rPr>
            <m:t xml:space="preserve">⋅</m:t>
          </m:r>
          <m:sSub>
            <m:e>
              <m:r>
                <w:rPr>
                  <w:rFonts w:ascii="Cambria Math" w:hAnsi="Cambria Math"/>
                </w:rPr>
                <m:t xml:space="preserve">δ</m:t>
              </m:r>
            </m:e>
            <m:sub>
              <m:r>
                <w:rPr>
                  <w:rFonts w:ascii="Cambria Math" w:hAnsi="Cambria Math"/>
                </w:rPr>
                <m:t xml:space="preserve">q</m:t>
              </m:r>
              <m:r>
                <w:rPr>
                  <w:rFonts w:ascii="Cambria Math" w:hAnsi="Cambria Math"/>
                </w:rPr>
                <m:t xml:space="preserve">2</m:t>
              </m:r>
            </m:sub>
          </m:sSub>
          <m:r>
            <w:rPr>
              <w:rFonts w:ascii="Cambria Math" w:hAnsi="Cambria Math"/>
            </w:rPr>
            <m:t xml:space="preserve">⋅</m:t>
          </m:r>
          <m:sSub>
            <m:e>
              <m:r>
                <w:rPr>
                  <w:rFonts w:ascii="Cambria Math" w:hAnsi="Cambria Math"/>
                </w:rPr>
                <m:t xml:space="preserve">Πδ</m:t>
              </m:r>
            </m:e>
            <m:sub>
              <m:r>
                <m:rPr>
                  <m:lit/>
                  <m:nor/>
                </m:rPr>
                <w:rPr>
                  <w:rFonts w:ascii="Cambria Math" w:hAnsi="Cambria Math"/>
                </w:rPr>
                <m:t xml:space="preserve">ni</m:t>
              </m:r>
            </m:sub>
          </m:sSub>
          <m:r>
            <w:rPr>
              <w:rFonts w:ascii="Cambria Math" w:hAnsi="Cambria Math"/>
            </w:rPr>
            <m:t xml:space="preserve">⋅</m:t>
          </m:r>
          <m:r>
            <w:rPr>
              <w:rFonts w:ascii="Cambria Math" w:hAnsi="Cambria Math"/>
            </w:rPr>
            <m:t xml:space="preserve">m</m:t>
          </m:r>
          <m:r>
            <w:rPr>
              <w:rFonts w:ascii="Cambria Math" w:hAnsi="Cambria Math"/>
            </w:rPr>
            <m:t xml:space="preserve">⋅</m:t>
          </m:r>
          <m:sSub>
            <m:e>
              <m:r>
                <w:rPr>
                  <w:rFonts w:ascii="Cambria Math" w:hAnsi="Cambria Math"/>
                </w:rPr>
                <m:t xml:space="preserve">q</m:t>
              </m:r>
            </m:e>
            <m:sub>
              <m:r>
                <w:rPr>
                  <w:rFonts w:ascii="Cambria Math" w:hAnsi="Cambria Math"/>
                </w:rPr>
                <m:t xml:space="preserve">f</m:t>
              </m:r>
              <m:r>
                <w:rPr>
                  <w:rFonts w:ascii="Cambria Math" w:hAnsi="Cambria Math"/>
                </w:rPr>
                <m:t xml:space="preserve">,</m:t>
              </m:r>
              <m:r>
                <w:rPr>
                  <w:rFonts w:ascii="Cambria Math" w:hAnsi="Cambria Math"/>
                </w:rPr>
                <m:t xml:space="preserve">k</m:t>
              </m:r>
            </m:sub>
          </m:sSub>
        </m:oMath>
      </m:oMathPara>
    </w:p>
    <w:p>
      <w:pPr>
        <w:pStyle w:val="Normal"/>
        <w:ind w:hanging="0" w:left="0"/>
        <w:rPr>
          <w:rFonts w:ascii="Times New Roman" w:hAnsi="Times New Roman"/>
        </w:rPr>
      </w:pPr>
      <w:r>
        <w:rPr>
          <w:szCs w:val="24"/>
        </w:rPr>
        <w:t>Współczynnik niebezpieczeństwa pożaru uwzględniający sposób użytkowania wynosi δ</w:t>
      </w:r>
      <w:r>
        <w:rPr>
          <w:szCs w:val="24"/>
          <w:vertAlign w:val="subscript"/>
        </w:rPr>
        <w:t>q2</w:t>
      </w:r>
      <w:r>
        <w:rPr>
          <w:szCs w:val="24"/>
        </w:rPr>
        <w:t>= 1,0. Współczynnik niebezpieczeństwa pożaru uwzględniający różne czynne środki ochrony przeciwpożarowej wynosi  δ</w:t>
      </w:r>
      <w:r>
        <w:rPr>
          <w:szCs w:val="24"/>
          <w:vertAlign w:val="subscript"/>
        </w:rPr>
        <w:t>n</w:t>
      </w:r>
      <w:r>
        <w:rPr>
          <w:szCs w:val="24"/>
        </w:rPr>
        <w:t xml:space="preserve">= 1,0. Obliczeniowa wartość gęstości obciążenia ogniowego określona zależnością.  </w:t>
      </w:r>
    </w:p>
    <w:p>
      <w:pPr>
        <w:pStyle w:val="Normal"/>
        <w:ind w:hanging="0" w:left="0"/>
        <w:jc w:val="center"/>
        <w:rPr>
          <w:rFonts w:ascii="Times New Roman" w:hAnsi="Times New Roman"/>
          <w:szCs w:val="24"/>
        </w:rPr>
      </w:pPr>
      <w:r>
        <w:rPr/>
      </w:r>
      <m:oMathPara xmlns:m="http://schemas.openxmlformats.org/officeDocument/2006/math">
        <m:oMathParaPr>
          <m:jc m:val="center"/>
        </m:oMathParaPr>
        <m:oMath>
          <m:sSub>
            <m:e>
              <m:r>
                <w:rPr>
                  <w:rFonts w:ascii="Cambria Math" w:hAnsi="Cambria Math"/>
                </w:rPr>
                <m:t xml:space="preserve">q</m:t>
              </m:r>
            </m:e>
            <m:sub>
              <m:r>
                <w:rPr>
                  <w:rFonts w:ascii="Cambria Math" w:hAnsi="Cambria Math"/>
                </w:rPr>
                <m:t xml:space="preserve">f</m:t>
              </m:r>
              <m:r>
                <w:rPr>
                  <w:rFonts w:ascii="Cambria Math" w:hAnsi="Cambria Math"/>
                </w:rPr>
                <m:t xml:space="preserve">,</m:t>
              </m:r>
              <m:r>
                <w:rPr>
                  <w:rFonts w:ascii="Cambria Math" w:hAnsi="Cambria Math"/>
                </w:rPr>
                <m:t xml:space="preserve">d</m:t>
              </m:r>
            </m:sub>
          </m:sSub>
          <m:r>
            <m:rPr>
              <m:lit/>
              <m:nor/>
            </m:rPr>
            <w:rPr>
              <w:rFonts w:ascii="Cambria Math" w:hAnsi="Cambria Math"/>
            </w:rPr>
            <m:t xml:space="preserve">=</m:t>
          </m:r>
          <m:sSub>
            <m:e>
              <m:r>
                <w:rPr>
                  <w:rFonts w:ascii="Cambria Math" w:hAnsi="Cambria Math"/>
                </w:rPr>
                <m:t xml:space="preserve">δ</m:t>
              </m:r>
            </m:e>
            <m:sub>
              <m:r>
                <w:rPr>
                  <w:rFonts w:ascii="Cambria Math" w:hAnsi="Cambria Math"/>
                </w:rPr>
                <m:t xml:space="preserve">q</m:t>
              </m:r>
              <m:r>
                <w:rPr>
                  <w:rFonts w:ascii="Cambria Math" w:hAnsi="Cambria Math"/>
                </w:rPr>
                <m:t xml:space="preserve">1</m:t>
              </m:r>
            </m:sub>
          </m:sSub>
          <m:r>
            <w:rPr>
              <w:rFonts w:ascii="Cambria Math" w:hAnsi="Cambria Math"/>
            </w:rPr>
            <m:t xml:space="preserve">⋅</m:t>
          </m:r>
          <m:sSub>
            <m:e>
              <m:r>
                <w:rPr>
                  <w:rFonts w:ascii="Cambria Math" w:hAnsi="Cambria Math"/>
                </w:rPr>
                <m:t xml:space="preserve">δ</m:t>
              </m:r>
            </m:e>
            <m:sub>
              <m:r>
                <w:rPr>
                  <w:rFonts w:ascii="Cambria Math" w:hAnsi="Cambria Math"/>
                </w:rPr>
                <m:t xml:space="preserve">q</m:t>
              </m:r>
              <m:r>
                <w:rPr>
                  <w:rFonts w:ascii="Cambria Math" w:hAnsi="Cambria Math"/>
                </w:rPr>
                <m:t xml:space="preserve">2</m:t>
              </m:r>
            </m:sub>
          </m:sSub>
          <m:r>
            <w:rPr>
              <w:rFonts w:ascii="Cambria Math" w:hAnsi="Cambria Math"/>
            </w:rPr>
            <m:t xml:space="preserve">⋅</m:t>
          </m:r>
          <m:sSub>
            <m:e>
              <m:r>
                <w:rPr>
                  <w:rFonts w:ascii="Cambria Math" w:hAnsi="Cambria Math"/>
                </w:rPr>
                <m:t xml:space="preserve">δ</m:t>
              </m:r>
            </m:e>
            <m:sub>
              <m:r>
                <w:rPr>
                  <w:rFonts w:ascii="Cambria Math" w:hAnsi="Cambria Math"/>
                </w:rPr>
                <m:t xml:space="preserve">n</m:t>
              </m:r>
            </m:sub>
          </m:sSub>
          <m:r>
            <w:rPr>
              <w:rFonts w:ascii="Cambria Math" w:hAnsi="Cambria Math"/>
            </w:rPr>
            <m:t xml:space="preserve">⋅</m:t>
          </m:r>
          <m:sSub>
            <m:e>
              <m:r>
                <w:rPr>
                  <w:rFonts w:ascii="Cambria Math" w:hAnsi="Cambria Math"/>
                </w:rPr>
                <m:t xml:space="preserve">q</m:t>
              </m:r>
            </m:e>
            <m:sub>
              <m:r>
                <w:rPr>
                  <w:rFonts w:ascii="Cambria Math" w:hAnsi="Cambria Math"/>
                </w:rPr>
                <m:t xml:space="preserve">f</m:t>
              </m:r>
              <m:r>
                <w:rPr>
                  <w:rFonts w:ascii="Cambria Math" w:hAnsi="Cambria Math"/>
                </w:rPr>
                <m:t xml:space="preserve">,</m:t>
              </m:r>
              <m:r>
                <w:rPr>
                  <w:rFonts w:ascii="Cambria Math" w:hAnsi="Cambria Math"/>
                </w:rPr>
                <m:t xml:space="preserve">k</m:t>
              </m:r>
            </m:sub>
          </m:sSub>
        </m:oMath>
      </m:oMathPara>
    </w:p>
    <w:p>
      <w:pPr>
        <w:pStyle w:val="Normal"/>
        <w:ind w:hanging="0" w:left="0"/>
        <w:jc w:val="center"/>
        <w:rPr>
          <w:rFonts w:ascii="Times New Roman" w:hAnsi="Times New Roman"/>
          <w:szCs w:val="24"/>
        </w:rPr>
      </w:pPr>
      <w:r>
        <w:rPr/>
      </w:r>
      <m:oMathPara xmlns:m="http://schemas.openxmlformats.org/officeDocument/2006/math">
        <m:oMathParaPr>
          <m:jc m:val="center"/>
        </m:oMathParaPr>
        <m:oMath>
          <m:sSub>
            <m:e>
              <m:r>
                <w:rPr>
                  <w:rFonts w:ascii="Cambria Math" w:hAnsi="Cambria Math"/>
                </w:rPr>
                <m:t xml:space="preserve">q</m:t>
              </m:r>
            </m:e>
            <m:sub>
              <m:r>
                <w:rPr>
                  <w:rFonts w:ascii="Cambria Math" w:hAnsi="Cambria Math"/>
                </w:rPr>
                <m:t xml:space="preserve">f</m:t>
              </m:r>
              <m:r>
                <w:rPr>
                  <w:rFonts w:ascii="Cambria Math" w:hAnsi="Cambria Math"/>
                </w:rPr>
                <m:t xml:space="preserve">,</m:t>
              </m:r>
              <m:r>
                <w:rPr>
                  <w:rFonts w:ascii="Cambria Math" w:hAnsi="Cambria Math"/>
                </w:rPr>
                <m:t xml:space="preserve">d</m:t>
              </m:r>
            </m:sub>
          </m:sSub>
          <m:r>
            <m:rPr>
              <m:lit/>
              <m:nor/>
            </m:rPr>
            <w:rPr>
              <w:rFonts w:ascii="Cambria Math" w:hAnsi="Cambria Math"/>
            </w:rPr>
            <m:t xml:space="preserve">=</m:t>
          </m:r>
          <m:r>
            <w:rPr>
              <w:rFonts w:ascii="Cambria Math" w:hAnsi="Cambria Math"/>
            </w:rPr>
            <m:t xml:space="preserve">1</m:t>
          </m:r>
          <m:r>
            <w:rPr>
              <w:rFonts w:ascii="Cambria Math" w:hAnsi="Cambria Math"/>
            </w:rPr>
            <m:t xml:space="preserve">,</m:t>
          </m:r>
          <m:r>
            <m:rPr>
              <m:lit/>
              <m:nor/>
            </m:rPr>
            <w:rPr>
              <w:rFonts w:ascii="Cambria Math" w:hAnsi="Cambria Math"/>
            </w:rPr>
            <m:t xml:space="preserve">20</m:t>
          </m:r>
          <m:r>
            <w:rPr>
              <w:rFonts w:ascii="Cambria Math" w:hAnsi="Cambria Math"/>
            </w:rPr>
            <m:t xml:space="preserve">⋅</m:t>
          </m:r>
          <m:r>
            <w:rPr>
              <w:rFonts w:ascii="Cambria Math" w:hAnsi="Cambria Math"/>
            </w:rPr>
            <m:t xml:space="preserve">1,0</m:t>
          </m:r>
          <m:r>
            <w:rPr>
              <w:rFonts w:ascii="Cambria Math" w:hAnsi="Cambria Math"/>
            </w:rPr>
            <m:t xml:space="preserve">⋅</m:t>
          </m:r>
          <m:r>
            <w:rPr>
              <w:rFonts w:ascii="Cambria Math" w:hAnsi="Cambria Math"/>
            </w:rPr>
            <m:t xml:space="preserve">1,0</m:t>
          </m:r>
          <m:r>
            <w:rPr>
              <w:rFonts w:ascii="Cambria Math" w:hAnsi="Cambria Math"/>
            </w:rPr>
            <m:t xml:space="preserve">⋅</m:t>
          </m:r>
          <m:r>
            <m:rPr>
              <m:lit/>
              <m:nor/>
            </m:rPr>
            <w:rPr>
              <w:rFonts w:ascii="Cambria Math" w:hAnsi="Cambria Math"/>
            </w:rPr>
            <m:t xml:space="preserve">511</m:t>
          </m:r>
          <m:f>
            <m:fPr>
              <m:type m:val="lin"/>
            </m:fPr>
            <m:num>
              <m:r>
                <m:rPr>
                  <m:lit/>
                  <m:nor/>
                </m:rPr>
                <w:rPr>
                  <w:rFonts w:ascii="Cambria Math" w:hAnsi="Cambria Math"/>
                </w:rPr>
                <m:t xml:space="preserve">MJ</m:t>
              </m:r>
            </m:num>
            <m:den>
              <m:sSup>
                <m:e>
                  <m:r>
                    <w:rPr>
                      <w:rFonts w:ascii="Cambria Math" w:hAnsi="Cambria Math"/>
                    </w:rPr>
                    <m:t xml:space="preserve">m</m:t>
                  </m:r>
                </m:e>
                <m:sup>
                  <m:r>
                    <w:rPr>
                      <w:rFonts w:ascii="Cambria Math" w:hAnsi="Cambria Math"/>
                    </w:rPr>
                    <m:t xml:space="preserve">2</m:t>
                  </m:r>
                </m:sup>
              </m:sSup>
            </m:den>
          </m:f>
          <m:r>
            <m:rPr>
              <m:lit/>
              <m:nor/>
            </m:rPr>
            <w:rPr>
              <w:rFonts w:ascii="Cambria Math" w:hAnsi="Cambria Math"/>
            </w:rPr>
            <m:t xml:space="preserve">=</m:t>
          </m:r>
          <m:r>
            <m:rPr>
              <m:lit/>
              <m:nor/>
            </m:rPr>
            <w:rPr>
              <w:rFonts w:ascii="Cambria Math" w:hAnsi="Cambria Math"/>
            </w:rPr>
            <m:t xml:space="preserve">613</m:t>
          </m:r>
          <m:f>
            <m:fPr>
              <m:type m:val="lin"/>
            </m:fPr>
            <m:num>
              <m:r>
                <m:rPr>
                  <m:lit/>
                  <m:nor/>
                </m:rPr>
                <w:rPr>
                  <w:rFonts w:ascii="Cambria Math" w:hAnsi="Cambria Math"/>
                </w:rPr>
                <m:t xml:space="preserve">MJ</m:t>
              </m:r>
            </m:num>
            <m:den>
              <m:sSup>
                <m:e>
                  <m:r>
                    <w:rPr>
                      <w:rFonts w:ascii="Cambria Math" w:hAnsi="Cambria Math"/>
                    </w:rPr>
                    <m:t xml:space="preserve">m</m:t>
                  </m:r>
                </m:e>
                <m:sup>
                  <m:r>
                    <w:rPr>
                      <w:rFonts w:ascii="Cambria Math" w:hAnsi="Cambria Math"/>
                    </w:rPr>
                    <m:t xml:space="preserve">2</m:t>
                  </m:r>
                </m:sup>
              </m:sSup>
            </m:den>
          </m:f>
        </m:oMath>
      </m:oMathPara>
    </w:p>
    <w:p>
      <w:pPr>
        <w:pStyle w:val="Normal"/>
        <w:ind w:hanging="0" w:left="0"/>
        <w:rPr>
          <w:rFonts w:ascii="Times New Roman" w:hAnsi="Times New Roman"/>
          <w:b/>
          <w:szCs w:val="24"/>
        </w:rPr>
      </w:pPr>
      <w:r>
        <w:rPr>
          <w:b/>
          <w:position w:val="-9"/>
          <w:szCs w:val="24"/>
        </w:rPr>
        <w:t>Właściwości termiczne strefy pożarowej:</w:t>
      </w:r>
    </w:p>
    <w:p>
      <w:pPr>
        <w:pStyle w:val="Normal"/>
        <w:ind w:hanging="0" w:left="0"/>
        <w:rPr>
          <w:rFonts w:ascii="Times New Roman" w:hAnsi="Times New Roman"/>
          <w:szCs w:val="24"/>
        </w:rPr>
      </w:pPr>
      <w:r>
        <w:rPr>
          <w:position w:val="-9"/>
          <w:szCs w:val="24"/>
        </w:rPr>
        <w:t>Absorpcyjność termiczna b:</w:t>
      </w:r>
    </w:p>
    <w:p>
      <w:pPr>
        <w:pStyle w:val="Normal"/>
        <w:ind w:hanging="0" w:left="0"/>
        <w:jc w:val="center"/>
        <w:rPr>
          <w:rFonts w:ascii="Times New Roman" w:hAnsi="Times New Roman"/>
        </w:rPr>
      </w:pPr>
      <w:r>
        <w:rPr/>
      </w:r>
      <m:oMathPara xmlns:m="http://schemas.openxmlformats.org/officeDocument/2006/math">
        <m:oMathParaPr>
          <m:jc m:val="center"/>
        </m:oMathParaPr>
        <m:oMath>
          <m:r>
            <w:rPr>
              <w:rFonts w:ascii="Cambria Math" w:hAnsi="Cambria Math"/>
            </w:rPr>
            <m:t xml:space="preserve">b</m:t>
          </m:r>
          <m:r>
            <m:rPr>
              <m:lit/>
              <m:nor/>
            </m:rPr>
            <w:rPr>
              <w:rFonts w:ascii="Cambria Math" w:hAnsi="Cambria Math"/>
            </w:rPr>
            <m:t xml:space="preserve">=</m:t>
          </m:r>
          <m:rad>
            <m:radPr>
              <m:degHide m:val="1"/>
            </m:radPr>
            <m:deg/>
            <m:e/>
          </m:rad>
        </m:oMath>
      </m:oMathPara>
    </w:p>
    <w:p>
      <w:pPr>
        <w:pStyle w:val="Normal"/>
        <w:spacing w:lineRule="auto" w:line="240"/>
        <w:ind w:hanging="0" w:left="709" w:right="0"/>
        <w:jc w:val="left"/>
        <w:rPr>
          <w:rFonts w:ascii="Times New Roman" w:hAnsi="Times New Roman"/>
        </w:rPr>
      </w:pPr>
      <w:r>
        <w:rPr/>
        <w:t>gdzie:</w:t>
      </w:r>
    </w:p>
    <w:p>
      <w:pPr>
        <w:pStyle w:val="Normal"/>
        <w:spacing w:lineRule="auto" w:line="240"/>
        <w:ind w:hanging="0" w:left="709" w:right="0"/>
        <w:jc w:val="left"/>
        <w:rPr>
          <w:rFonts w:ascii="Times New Roman" w:hAnsi="Times New Roman"/>
        </w:rPr>
      </w:pPr>
      <w:r>
        <w:rPr/>
        <w:t>ρ- ciężar objętościowy, wyrażony w kg/m</w:t>
      </w:r>
      <w:r>
        <w:rPr>
          <w:vertAlign w:val="superscript"/>
        </w:rPr>
        <w:t>3</w:t>
      </w:r>
    </w:p>
    <w:p>
      <w:pPr>
        <w:pStyle w:val="Normal"/>
        <w:spacing w:lineRule="auto" w:line="240"/>
        <w:ind w:hanging="0" w:left="709" w:right="0"/>
        <w:jc w:val="left"/>
        <w:rPr>
          <w:rFonts w:ascii="Times New Roman" w:hAnsi="Times New Roman"/>
        </w:rPr>
      </w:pPr>
      <w:r>
        <w:rPr/>
        <w:t>c – ciepło właściwe, wyrażone w J/kgK</w:t>
      </w:r>
    </w:p>
    <w:p>
      <w:pPr>
        <w:pStyle w:val="Normal"/>
        <w:spacing w:lineRule="auto" w:line="240"/>
        <w:ind w:hanging="0" w:left="709" w:right="0"/>
        <w:jc w:val="left"/>
        <w:rPr>
          <w:rFonts w:ascii="Times New Roman" w:hAnsi="Times New Roman"/>
        </w:rPr>
      </w:pPr>
      <w:r>
        <w:rPr/>
        <w:t>λ – współczynnik przewodności cieplnej elementów, wyrażony w W/mK</w:t>
      </w:r>
    </w:p>
    <w:p>
      <w:pPr>
        <w:pStyle w:val="Normal"/>
        <w:ind w:hanging="0" w:left="0"/>
        <w:rPr>
          <w:rFonts w:ascii="Times New Roman" w:hAnsi="Times New Roman"/>
        </w:rPr>
      </w:pPr>
      <w:r>
        <w:rPr/>
      </w:r>
    </w:p>
    <w:p>
      <w:pPr>
        <w:pStyle w:val="Normal"/>
        <w:ind w:hanging="0" w:left="0"/>
        <w:rPr>
          <w:rFonts w:ascii="Times New Roman" w:hAnsi="Times New Roman"/>
        </w:rPr>
      </w:pPr>
      <w:r>
        <w:rPr/>
        <w:t>Całkowita absorpcyjność termiczna wynosi: b=1263,3 Jm</w:t>
      </w:r>
      <w:r>
        <w:rPr>
          <w:vertAlign w:val="superscript"/>
        </w:rPr>
        <w:t>-2</w:t>
      </w:r>
      <w:r>
        <w:rPr/>
        <w:t xml:space="preserve"> s</w:t>
      </w:r>
      <w:r>
        <w:rPr>
          <w:vertAlign w:val="superscript"/>
        </w:rPr>
        <w:t>-0,5</w:t>
      </w:r>
      <w:r>
        <w:rPr/>
        <w:t xml:space="preserve"> K</w:t>
      </w:r>
      <w:r>
        <w:rPr>
          <w:vertAlign w:val="superscript"/>
        </w:rPr>
        <w:t>-1</w:t>
      </w:r>
    </w:p>
    <w:p>
      <w:pPr>
        <w:pStyle w:val="Normal"/>
        <w:spacing w:lineRule="auto" w:line="240"/>
        <w:ind w:hanging="0" w:left="0"/>
        <w:rPr>
          <w:rFonts w:ascii="Times New Roman" w:hAnsi="Times New Roman"/>
          <w:b/>
        </w:rPr>
      </w:pPr>
      <w:r>
        <w:rPr>
          <w:b/>
        </w:rPr>
        <w:t xml:space="preserve">Zdolność do wentylacji strefy pożarowej O wynosi 0,05: </w:t>
      </w:r>
    </w:p>
    <w:p>
      <w:pPr>
        <w:pStyle w:val="Normal"/>
        <w:ind w:hanging="0" w:left="0"/>
        <w:jc w:val="center"/>
        <w:rPr>
          <w:rFonts w:ascii="Times New Roman" w:hAnsi="Times New Roman"/>
        </w:rPr>
      </w:pPr>
      <w:r>
        <w:rPr/>
      </w:r>
      <m:oMathPara xmlns:m="http://schemas.openxmlformats.org/officeDocument/2006/math">
        <m:oMathParaPr>
          <m:jc m:val="center"/>
        </m:oMathParaPr>
        <m:oMath>
          <m:r>
            <w:rPr>
              <w:rFonts w:ascii="Cambria Math" w:hAnsi="Cambria Math"/>
            </w:rPr>
            <m:t xml:space="preserve">O</m:t>
          </m:r>
          <m:r>
            <m:rPr>
              <m:lit/>
              <m:nor/>
            </m:rPr>
            <w:rPr>
              <w:rFonts w:ascii="Cambria Math" w:hAnsi="Cambria Math"/>
            </w:rPr>
            <m:t xml:space="preserve">=</m:t>
          </m:r>
          <m:f>
            <m:num>
              <m:sSub>
                <m:e>
                  <m:r>
                    <w:rPr>
                      <w:rFonts w:ascii="Cambria Math" w:hAnsi="Cambria Math"/>
                    </w:rPr>
                    <m:t xml:space="preserve">A</m:t>
                  </m:r>
                </m:e>
                <m:sub>
                  <m:r>
                    <w:rPr>
                      <w:rFonts w:ascii="Cambria Math" w:hAnsi="Cambria Math"/>
                    </w:rPr>
                    <m:t xml:space="preserve">V</m:t>
                  </m:r>
                </m:sub>
              </m:sSub>
              <m:r>
                <w:rPr>
                  <w:rFonts w:ascii="Cambria Math" w:hAnsi="Cambria Math"/>
                </w:rPr>
                <m:t xml:space="preserve">⋅</m:t>
              </m:r>
              <m:rad>
                <m:radPr>
                  <m:degHide m:val="1"/>
                </m:radPr>
                <m:deg/>
                <m:e>
                  <m:sSub>
                    <m:e>
                      <m:r>
                        <w:rPr>
                          <w:rFonts w:ascii="Cambria Math" w:hAnsi="Cambria Math"/>
                        </w:rPr>
                        <m:t xml:space="preserve">h</m:t>
                      </m:r>
                    </m:e>
                    <m:sub>
                      <m:r>
                        <m:rPr>
                          <m:lit/>
                          <m:nor/>
                        </m:rPr>
                        <w:rPr>
                          <w:rFonts w:ascii="Cambria Math" w:hAnsi="Cambria Math"/>
                        </w:rPr>
                        <m:t xml:space="preserve">eq</m:t>
                      </m:r>
                    </m:sub>
                  </m:sSub>
                </m:e>
              </m:rad>
            </m:num>
            <m:den>
              <m:sSub>
                <m:e>
                  <m:r>
                    <w:rPr>
                      <w:rFonts w:ascii="Cambria Math" w:hAnsi="Cambria Math"/>
                    </w:rPr>
                    <m:t xml:space="preserve">A</m:t>
                  </m:r>
                </m:e>
                <m:sub>
                  <m:r>
                    <w:rPr>
                      <w:rFonts w:ascii="Cambria Math" w:hAnsi="Cambria Math"/>
                    </w:rPr>
                    <m:t xml:space="preserve">t</m:t>
                  </m:r>
                </m:sub>
              </m:sSub>
            </m:den>
          </m:f>
          <m:r>
            <m:rPr>
              <m:lit/>
              <m:nor/>
            </m:rPr>
            <w:rPr>
              <w:rFonts w:ascii="Cambria Math" w:hAnsi="Cambria Math"/>
            </w:rPr>
            <m:t xml:space="preserve">=</m:t>
          </m:r>
          <m:f>
            <m:num>
              <m:r>
                <m:rPr>
                  <m:lit/>
                  <m:nor/>
                </m:rPr>
                <w:rPr>
                  <w:rFonts w:ascii="Cambria Math" w:hAnsi="Cambria Math"/>
                </w:rPr>
                <m:t xml:space="preserve">11</m:t>
              </m:r>
              <m:r>
                <w:rPr>
                  <w:rFonts w:ascii="Cambria Math" w:hAnsi="Cambria Math"/>
                </w:rPr>
                <m:t xml:space="preserve">,</m:t>
              </m:r>
              <m:r>
                <m:rPr>
                  <m:lit/>
                  <m:nor/>
                </m:rPr>
                <w:rPr>
                  <w:rFonts w:ascii="Cambria Math" w:hAnsi="Cambria Math"/>
                </w:rPr>
                <m:t xml:space="preserve">76</m:t>
              </m:r>
              <m:r>
                <w:rPr>
                  <w:rFonts w:ascii="Cambria Math" w:hAnsi="Cambria Math"/>
                </w:rPr>
                <m:t xml:space="preserve">⋅</m:t>
              </m:r>
              <m:rad>
                <m:radPr>
                  <m:degHide m:val="1"/>
                </m:radPr>
                <m:deg/>
                <m:e>
                  <m:r>
                    <w:rPr>
                      <w:rFonts w:ascii="Cambria Math" w:hAnsi="Cambria Math"/>
                    </w:rPr>
                    <m:t xml:space="preserve">0</m:t>
                  </m:r>
                  <m:r>
                    <w:rPr>
                      <w:rFonts w:ascii="Cambria Math" w:hAnsi="Cambria Math"/>
                    </w:rPr>
                    <m:t xml:space="preserve">,</m:t>
                  </m:r>
                  <m:r>
                    <m:rPr>
                      <m:lit/>
                      <m:nor/>
                    </m:rPr>
                    <w:rPr>
                      <w:rFonts w:ascii="Cambria Math" w:hAnsi="Cambria Math"/>
                    </w:rPr>
                    <m:t xml:space="preserve">89</m:t>
                  </m:r>
                </m:e>
              </m:rad>
            </m:num>
            <m:den>
              <m:r>
                <m:rPr>
                  <m:lit/>
                  <m:nor/>
                </m:rPr>
                <w:rPr>
                  <w:rFonts w:ascii="Cambria Math" w:hAnsi="Cambria Math"/>
                </w:rPr>
                <m:t xml:space="preserve">193</m:t>
              </m:r>
              <m:r>
                <w:rPr>
                  <w:rFonts w:ascii="Cambria Math" w:hAnsi="Cambria Math"/>
                </w:rPr>
                <m:t xml:space="preserve">,</m:t>
              </m:r>
              <m:r>
                <m:rPr>
                  <m:lit/>
                  <m:nor/>
                </m:rPr>
                <w:rPr>
                  <w:rFonts w:ascii="Cambria Math" w:hAnsi="Cambria Math"/>
                </w:rPr>
                <m:t xml:space="preserve">376</m:t>
              </m:r>
            </m:den>
          </m:f>
          <m:r>
            <m:rPr>
              <m:lit/>
              <m:nor/>
            </m:rPr>
            <w:rPr>
              <w:rFonts w:ascii="Cambria Math" w:hAnsi="Cambria Math"/>
            </w:rPr>
            <m:t xml:space="preserve">=</m:t>
          </m:r>
          <m:r>
            <w:rPr>
              <w:rFonts w:ascii="Cambria Math" w:hAnsi="Cambria Math"/>
            </w:rPr>
            <m:t xml:space="preserve">0</m:t>
          </m:r>
          <m:r>
            <w:rPr>
              <w:rFonts w:ascii="Cambria Math" w:hAnsi="Cambria Math"/>
            </w:rPr>
            <m:t xml:space="preserve">,</m:t>
          </m:r>
          <m:r>
            <m:rPr>
              <m:lit/>
              <m:nor/>
            </m:rPr>
            <w:rPr>
              <w:rFonts w:ascii="Cambria Math" w:hAnsi="Cambria Math"/>
            </w:rPr>
            <m:t xml:space="preserve">05</m:t>
          </m:r>
        </m:oMath>
      </m:oMathPara>
    </w:p>
    <w:p>
      <w:pPr>
        <w:pStyle w:val="Normal"/>
        <w:spacing w:lineRule="auto" w:line="240"/>
        <w:ind w:hanging="0" w:left="0"/>
        <w:rPr>
          <w:rFonts w:ascii="Times New Roman" w:hAnsi="Times New Roman"/>
        </w:rPr>
      </w:pPr>
      <w:r>
        <w:rPr/>
        <w:t xml:space="preserve">gdzie: </w:t>
      </w:r>
    </w:p>
    <w:p>
      <w:pPr>
        <w:pStyle w:val="Normal"/>
        <w:spacing w:lineRule="auto" w:line="240"/>
        <w:ind w:hanging="0" w:left="709" w:right="0"/>
        <w:rPr>
          <w:rFonts w:ascii="Times New Roman" w:hAnsi="Times New Roman"/>
        </w:rPr>
      </w:pPr>
      <w:r>
        <w:rPr/>
        <w:t>A</w:t>
      </w:r>
      <w:r>
        <w:rPr>
          <w:vertAlign w:val="subscript"/>
        </w:rPr>
        <w:t xml:space="preserve">v </w:t>
      </w:r>
      <w:r>
        <w:rPr/>
        <w:t>– całkowita powierzchnia otworów we wszystkich ścianach,</w:t>
      </w:r>
    </w:p>
    <w:p>
      <w:pPr>
        <w:pStyle w:val="Normal"/>
        <w:spacing w:lineRule="auto" w:line="240"/>
        <w:ind w:hanging="0" w:left="709" w:right="0"/>
        <w:rPr>
          <w:rFonts w:ascii="Times New Roman" w:hAnsi="Times New Roman"/>
        </w:rPr>
      </w:pPr>
      <w:r>
        <w:rPr/>
        <w:t>A</w:t>
      </w:r>
      <w:r>
        <w:rPr>
          <w:vertAlign w:val="subscript"/>
        </w:rPr>
        <w:t xml:space="preserve">t </w:t>
      </w:r>
      <w:r>
        <w:rPr/>
        <w:t>– całkowita powierzchnia elementów ograniczających (ścian, sufitów i podłogi, łącznie z otworami)</w:t>
      </w:r>
    </w:p>
    <w:p>
      <w:pPr>
        <w:pStyle w:val="Normal"/>
        <w:spacing w:lineRule="auto" w:line="240"/>
        <w:ind w:hanging="0" w:left="709" w:right="0"/>
        <w:rPr>
          <w:rFonts w:ascii="Times New Roman" w:hAnsi="Times New Roman"/>
        </w:rPr>
      </w:pPr>
      <w:r>
        <w:rPr/>
        <w:t>h</w:t>
      </w:r>
      <w:r>
        <w:rPr>
          <w:vertAlign w:val="subscript"/>
        </w:rPr>
        <w:t>eq</w:t>
      </w:r>
      <w:r>
        <w:rPr/>
        <w:t xml:space="preserve">- średnia ważona wysokości okien we wszystkich ścianach </w:t>
      </w:r>
    </w:p>
    <w:p>
      <w:pPr>
        <w:pStyle w:val="Normal"/>
        <w:spacing w:before="200" w:after="0"/>
        <w:ind w:hanging="0" w:left="0"/>
        <w:rPr>
          <w:rFonts w:ascii="Times New Roman" w:hAnsi="Times New Roman"/>
          <w:b/>
          <w:szCs w:val="24"/>
        </w:rPr>
      </w:pPr>
      <w:r>
        <w:rPr>
          <w:b/>
          <w:szCs w:val="24"/>
        </w:rPr>
        <w:t>Współczynnik funkcji czasu Γ wynosi 0,21:</w:t>
      </w:r>
    </w:p>
    <w:p>
      <w:pPr>
        <w:pStyle w:val="Normal"/>
        <w:ind w:hanging="0" w:left="0"/>
        <w:jc w:val="center"/>
        <w:rPr>
          <w:rFonts w:ascii="Times New Roman" w:hAnsi="Times New Roman"/>
          <w:szCs w:val="24"/>
        </w:rPr>
      </w:pPr>
      <w:r>
        <w:rPr/>
      </w:r>
      <m:oMathPara xmlns:m="http://schemas.openxmlformats.org/officeDocument/2006/math">
        <m:oMathParaPr>
          <m:jc m:val="center"/>
        </m:oMathParaPr>
        <m:oMath>
          <m:r>
            <w:rPr>
              <w:rFonts w:ascii="Cambria Math" w:hAnsi="Cambria Math"/>
            </w:rPr>
            <m:t xml:space="preserve">Γ</m:t>
          </m:r>
          <m:r>
            <m:rPr>
              <m:lit/>
              <m:nor/>
            </m:rPr>
            <w:rPr>
              <w:rFonts w:ascii="Cambria Math" w:hAnsi="Cambria Math"/>
            </w:rPr>
            <m:t xml:space="preserve">=</m:t>
          </m:r>
        </m:oMath>
      </m:oMathPara>
    </w:p>
    <w:p>
      <w:pPr>
        <w:pStyle w:val="Normal"/>
        <w:ind w:hanging="0" w:left="0"/>
        <w:rPr>
          <w:rFonts w:ascii="Times New Roman" w:hAnsi="Times New Roman"/>
        </w:rPr>
      </w:pPr>
      <w:r>
        <w:rPr>
          <w:b/>
          <w:position w:val="-6"/>
          <w:szCs w:val="24"/>
        </w:rPr>
        <w:t>Gęstość obciążenia ogniowego odniesiona do pola powierzchni wynosi: 97 MJ/m</w:t>
      </w:r>
      <w:r>
        <w:rPr>
          <w:b/>
          <w:szCs w:val="24"/>
          <w:vertAlign w:val="superscript"/>
        </w:rPr>
        <w:t>2</w:t>
      </w:r>
    </w:p>
    <w:p>
      <w:pPr>
        <w:pStyle w:val="Normal"/>
        <w:ind w:hanging="0" w:left="0"/>
        <w:jc w:val="center"/>
        <w:rPr>
          <w:rFonts w:ascii="Times New Roman" w:hAnsi="Times New Roman"/>
        </w:rPr>
      </w:pPr>
      <w:r>
        <w:rPr/>
      </w:r>
      <m:oMathPara xmlns:m="http://schemas.openxmlformats.org/officeDocument/2006/math">
        <m:oMathParaPr>
          <m:jc m:val="center"/>
        </m:oMathParaPr>
        <m:oMath>
          <m:sSub>
            <m:e>
              <m:r>
                <w:rPr>
                  <w:rFonts w:ascii="Cambria Math" w:hAnsi="Cambria Math"/>
                </w:rPr>
                <m:t xml:space="preserve">q</m:t>
              </m:r>
            </m:e>
            <m:sub>
              <m:r>
                <w:rPr>
                  <w:rFonts w:ascii="Cambria Math" w:hAnsi="Cambria Math"/>
                </w:rPr>
                <m:t xml:space="preserve">t</m:t>
              </m:r>
              <m:r>
                <w:rPr>
                  <w:rFonts w:ascii="Cambria Math" w:hAnsi="Cambria Math"/>
                </w:rPr>
                <m:t xml:space="preserve">,</m:t>
              </m:r>
              <m:r>
                <w:rPr>
                  <w:rFonts w:ascii="Cambria Math" w:hAnsi="Cambria Math"/>
                </w:rPr>
                <m:t xml:space="preserve">d</m:t>
              </m:r>
            </m:sub>
          </m:sSub>
          <m:r>
            <m:rPr>
              <m:lit/>
              <m:nor/>
            </m:rPr>
            <w:rPr>
              <w:rFonts w:ascii="Cambria Math" w:hAnsi="Cambria Math"/>
            </w:rPr>
            <m:t xml:space="preserve">=</m:t>
          </m:r>
          <m:f>
            <m:num>
              <m:sSub>
                <m:e>
                  <m:r>
                    <w:rPr>
                      <w:rFonts w:ascii="Cambria Math" w:hAnsi="Cambria Math"/>
                    </w:rPr>
                    <m:t xml:space="preserve">q</m:t>
                  </m:r>
                </m:e>
                <m:sub>
                  <m:r>
                    <w:rPr>
                      <w:rFonts w:ascii="Cambria Math" w:hAnsi="Cambria Math"/>
                    </w:rPr>
                    <m:t xml:space="preserve">f</m:t>
                  </m:r>
                  <m:r>
                    <w:rPr>
                      <w:rFonts w:ascii="Cambria Math" w:hAnsi="Cambria Math"/>
                    </w:rPr>
                    <m:t xml:space="preserve">,</m:t>
                  </m:r>
                  <m:r>
                    <w:rPr>
                      <w:rFonts w:ascii="Cambria Math" w:hAnsi="Cambria Math"/>
                    </w:rPr>
                    <m:t xml:space="preserve">d</m:t>
                  </m:r>
                </m:sub>
              </m:sSub>
              <m:r>
                <w:rPr>
                  <w:rFonts w:ascii="Cambria Math" w:hAnsi="Cambria Math"/>
                </w:rPr>
                <m:t xml:space="preserve">⋅</m:t>
              </m:r>
              <m:sSub>
                <m:e>
                  <m:r>
                    <w:rPr>
                      <w:rFonts w:ascii="Cambria Math" w:hAnsi="Cambria Math"/>
                    </w:rPr>
                    <m:t xml:space="preserve">A</m:t>
                  </m:r>
                </m:e>
                <m:sub>
                  <m:r>
                    <w:rPr>
                      <w:rFonts w:ascii="Cambria Math" w:hAnsi="Cambria Math"/>
                    </w:rPr>
                    <m:t xml:space="preserve">f</m:t>
                  </m:r>
                </m:sub>
              </m:sSub>
            </m:num>
            <m:den>
              <m:sSub>
                <m:e>
                  <m:r>
                    <w:rPr>
                      <w:rFonts w:ascii="Cambria Math" w:hAnsi="Cambria Math"/>
                    </w:rPr>
                    <m:t xml:space="preserve">A</m:t>
                  </m:r>
                </m:e>
                <m:sub>
                  <m:r>
                    <w:rPr>
                      <w:rFonts w:ascii="Cambria Math" w:hAnsi="Cambria Math"/>
                    </w:rPr>
                    <m:t xml:space="preserve">t</m:t>
                  </m:r>
                </m:sub>
              </m:sSub>
            </m:den>
          </m:f>
          <m:r>
            <m:rPr>
              <m:lit/>
              <m:nor/>
            </m:rPr>
            <w:rPr>
              <w:rFonts w:ascii="Cambria Math" w:hAnsi="Cambria Math"/>
            </w:rPr>
            <m:t xml:space="preserve">=</m:t>
          </m:r>
          <m:f>
            <m:num>
              <m:r>
                <m:rPr>
                  <m:lit/>
                  <m:nor/>
                </m:rPr>
                <w:rPr>
                  <w:rFonts w:ascii="Cambria Math" w:hAnsi="Cambria Math"/>
                </w:rPr>
                <m:t xml:space="preserve">613</m:t>
              </m:r>
              <m:f>
                <m:num>
                  <m:r>
                    <m:rPr>
                      <m:lit/>
                      <m:nor/>
                    </m:rPr>
                    <w:rPr>
                      <w:rFonts w:ascii="Cambria Math" w:hAnsi="Cambria Math"/>
                    </w:rPr>
                    <m:t xml:space="preserve">MJ</m:t>
                  </m:r>
                </m:num>
                <m:den>
                  <m:sSup>
                    <m:e>
                      <m:r>
                        <w:rPr>
                          <w:rFonts w:ascii="Cambria Math" w:hAnsi="Cambria Math"/>
                        </w:rPr>
                        <m:t xml:space="preserve">m</m:t>
                      </m:r>
                    </m:e>
                    <m:sup>
                      <m:r>
                        <w:rPr>
                          <w:rFonts w:ascii="Cambria Math" w:hAnsi="Cambria Math"/>
                        </w:rPr>
                        <m:t xml:space="preserve">2</m:t>
                      </m:r>
                    </m:sup>
                  </m:sSup>
                </m:den>
              </m:f>
              <m:r>
                <w:rPr>
                  <w:rFonts w:ascii="Cambria Math" w:hAnsi="Cambria Math"/>
                </w:rPr>
                <m:t xml:space="preserve">⋅</m:t>
              </m:r>
              <m:r>
                <m:rPr>
                  <m:lit/>
                  <m:nor/>
                </m:rPr>
                <w:rPr>
                  <w:rFonts w:ascii="Cambria Math" w:hAnsi="Cambria Math"/>
                </w:rPr>
                <m:t xml:space="preserve">49</m:t>
              </m:r>
              <m:r>
                <w:rPr>
                  <w:rFonts w:ascii="Cambria Math" w:hAnsi="Cambria Math"/>
                </w:rPr>
                <m:t xml:space="preserve">,3</m:t>
              </m:r>
              <m:sSup>
                <m:e>
                  <m:r>
                    <w:rPr>
                      <w:rFonts w:ascii="Cambria Math" w:hAnsi="Cambria Math"/>
                    </w:rPr>
                    <m:t xml:space="preserve">m</m:t>
                  </m:r>
                </m:e>
                <m:sup>
                  <m:r>
                    <w:rPr>
                      <w:rFonts w:ascii="Cambria Math" w:hAnsi="Cambria Math"/>
                    </w:rPr>
                    <m:t xml:space="preserve">2</m:t>
                  </m:r>
                </m:sup>
              </m:sSup>
            </m:num>
            <m:den>
              <m:r>
                <m:rPr>
                  <m:lit/>
                  <m:nor/>
                </m:rPr>
                <w:rPr>
                  <w:rFonts w:ascii="Cambria Math" w:hAnsi="Cambria Math"/>
                </w:rPr>
                <m:t xml:space="preserve">193</m:t>
              </m:r>
              <m:r>
                <w:rPr>
                  <w:rFonts w:ascii="Cambria Math" w:hAnsi="Cambria Math"/>
                </w:rPr>
                <m:t xml:space="preserve">,4</m:t>
              </m:r>
              <m:sSup>
                <m:e>
                  <m:r>
                    <w:rPr>
                      <w:rFonts w:ascii="Cambria Math" w:hAnsi="Cambria Math"/>
                    </w:rPr>
                    <m:t xml:space="preserve">m</m:t>
                  </m:r>
                </m:e>
                <m:sup>
                  <m:r>
                    <w:rPr>
                      <w:rFonts w:ascii="Cambria Math" w:hAnsi="Cambria Math"/>
                    </w:rPr>
                    <m:t xml:space="preserve">2</m:t>
                  </m:r>
                </m:sup>
              </m:sSup>
            </m:den>
          </m:f>
          <m:r>
            <m:rPr>
              <m:lit/>
              <m:nor/>
            </m:rPr>
            <w:rPr>
              <w:rFonts w:ascii="Cambria Math" w:hAnsi="Cambria Math"/>
            </w:rPr>
            <m:t xml:space="preserve">=</m:t>
          </m:r>
          <m:r>
            <m:rPr>
              <m:lit/>
              <m:nor/>
            </m:rPr>
            <w:rPr>
              <w:rFonts w:ascii="Cambria Math" w:hAnsi="Cambria Math"/>
            </w:rPr>
            <m:t xml:space="preserve">156</m:t>
          </m:r>
          <m:r>
            <w:rPr>
              <w:rFonts w:ascii="Cambria Math" w:hAnsi="Cambria Math"/>
            </w:rPr>
            <m:t xml:space="preserve">,3</m:t>
          </m:r>
          <m:f>
            <m:num>
              <m:r>
                <m:rPr>
                  <m:lit/>
                  <m:nor/>
                </m:rPr>
                <w:rPr>
                  <w:rFonts w:ascii="Cambria Math" w:hAnsi="Cambria Math"/>
                </w:rPr>
                <m:t xml:space="preserve">MJ</m:t>
              </m:r>
            </m:num>
            <m:den>
              <m:sSup>
                <m:e>
                  <m:r>
                    <w:rPr>
                      <w:rFonts w:ascii="Cambria Math" w:hAnsi="Cambria Math"/>
                    </w:rPr>
                    <m:t xml:space="preserve">m</m:t>
                  </m:r>
                </m:e>
                <m:sup>
                  <m:r>
                    <w:rPr>
                      <w:rFonts w:ascii="Cambria Math" w:hAnsi="Cambria Math"/>
                    </w:rPr>
                    <m:t xml:space="preserve">2</m:t>
                  </m:r>
                </m:sup>
              </m:sSup>
            </m:den>
          </m:f>
        </m:oMath>
      </m:oMathPara>
    </w:p>
    <w:p>
      <w:pPr>
        <w:pStyle w:val="Normal"/>
        <w:spacing w:lineRule="auto" w:line="240"/>
        <w:ind w:hanging="567" w:left="1276" w:right="0"/>
        <w:rPr>
          <w:rFonts w:ascii="Times New Roman" w:hAnsi="Times New Roman"/>
          <w:szCs w:val="24"/>
        </w:rPr>
      </w:pPr>
      <w:r>
        <w:rPr>
          <w:szCs w:val="24"/>
        </w:rPr>
        <w:t>gdzie:</w:t>
      </w:r>
    </w:p>
    <w:p>
      <w:pPr>
        <w:pStyle w:val="Normal"/>
        <w:spacing w:lineRule="auto" w:line="240"/>
        <w:ind w:hanging="567" w:left="1276" w:right="0"/>
        <w:rPr>
          <w:rFonts w:ascii="Times New Roman" w:hAnsi="Times New Roman"/>
        </w:rPr>
      </w:pPr>
      <w:r>
        <w:rPr>
          <w:szCs w:val="24"/>
        </w:rPr>
        <w:t>q</w:t>
      </w:r>
      <w:r>
        <w:rPr>
          <w:szCs w:val="24"/>
          <w:vertAlign w:val="subscript"/>
        </w:rPr>
        <w:t>t,d</w:t>
      </w:r>
      <w:r>
        <w:rPr>
          <w:szCs w:val="24"/>
        </w:rPr>
        <w:t xml:space="preserve"> – oznacza obliczeniową wartość gęstości obciążenia ogniowego odniesioną do całkowitego pola powierzchni ograniczających (A</w:t>
      </w:r>
      <w:r>
        <w:rPr>
          <w:szCs w:val="24"/>
          <w:vertAlign w:val="subscript"/>
        </w:rPr>
        <w:t>t</w:t>
      </w:r>
      <w:r>
        <w:rPr>
          <w:szCs w:val="24"/>
        </w:rPr>
        <w:t>), przyjmuje się że obciążenie ogniowe strefy podlega całkowitemu spaleniu,</w:t>
      </w:r>
    </w:p>
    <w:p>
      <w:pPr>
        <w:pStyle w:val="Normal"/>
        <w:spacing w:lineRule="auto" w:line="240"/>
        <w:ind w:hanging="567" w:left="1276" w:right="0"/>
        <w:rPr>
          <w:rFonts w:ascii="Times New Roman" w:hAnsi="Times New Roman"/>
        </w:rPr>
      </w:pPr>
      <w:r>
        <w:rPr>
          <w:szCs w:val="24"/>
        </w:rPr>
        <w:t>q</w:t>
      </w:r>
      <w:r>
        <w:rPr>
          <w:szCs w:val="24"/>
          <w:vertAlign w:val="subscript"/>
        </w:rPr>
        <w:t>f,d</w:t>
      </w:r>
      <w:r>
        <w:rPr>
          <w:szCs w:val="24"/>
        </w:rPr>
        <w:t xml:space="preserve"> – oznacza obliczeniową wartość gęstości obciążenia ogniowego odniesioną do pola powierzchni podłogi i wyrażona jest w MJ/m</w:t>
      </w:r>
      <w:r>
        <w:rPr>
          <w:szCs w:val="24"/>
          <w:vertAlign w:val="superscript"/>
        </w:rPr>
        <w:t>2</w:t>
      </w:r>
      <w:r>
        <w:rPr>
          <w:szCs w:val="24"/>
        </w:rPr>
        <w:t>, obliczeniowa wartość gęstości obciążenia ogniowego uwzględnia wiele czynników, w tym ryzyko powstania pożaru praz wpływ czynnych i biernych systemów zabezpieczeń przeciwpożarowych.</w:t>
      </w:r>
    </w:p>
    <w:p>
      <w:pPr>
        <w:pStyle w:val="Normal"/>
        <w:spacing w:before="200" w:after="0"/>
        <w:ind w:hanging="0" w:left="0"/>
        <w:rPr>
          <w:rFonts w:ascii="Times New Roman" w:hAnsi="Times New Roman"/>
          <w:b/>
          <w:szCs w:val="24"/>
        </w:rPr>
      </w:pPr>
      <w:r>
        <w:rPr>
          <w:b/>
          <w:position w:val="-6"/>
          <w:szCs w:val="24"/>
        </w:rPr>
        <w:t>Ocena zakresu czasu i największej temperatury:</w:t>
      </w:r>
    </w:p>
    <w:p>
      <w:pPr>
        <w:pStyle w:val="Normal"/>
        <w:ind w:hanging="0" w:left="0"/>
        <w:rPr>
          <w:rFonts w:ascii="Times New Roman" w:hAnsi="Times New Roman"/>
        </w:rPr>
      </w:pPr>
      <w:r>
        <w:rPr>
          <w:position w:val="-6"/>
          <w:szCs w:val="24"/>
        </w:rPr>
        <w:t xml:space="preserve">Oczekiwana jest niska prędkość rozwoju pożaru, z </w:t>
      </w:r>
      <w:r>
        <w:rPr>
          <w:i/>
          <w:position w:val="-6"/>
          <w:szCs w:val="24"/>
        </w:rPr>
        <w:t>t</w:t>
      </w:r>
      <w:r>
        <w:rPr>
          <w:szCs w:val="24"/>
          <w:vertAlign w:val="subscript"/>
        </w:rPr>
        <w:t>lim</w:t>
      </w:r>
      <w:r>
        <w:rPr>
          <w:position w:val="-6"/>
          <w:szCs w:val="24"/>
        </w:rPr>
        <w:t xml:space="preserve"> – 20 min = 0,333h </w:t>
      </w:r>
    </w:p>
    <w:p>
      <w:pPr>
        <w:pStyle w:val="Normal"/>
        <w:ind w:hanging="0" w:left="0"/>
        <w:rPr>
          <w:rFonts w:ascii="Times New Roman" w:hAnsi="Times New Roman"/>
        </w:rPr>
      </w:pPr>
      <w:r>
        <w:rPr>
          <w:position w:val="-6"/>
          <w:szCs w:val="24"/>
        </w:rPr>
        <w:t xml:space="preserve">Czas </w:t>
      </w:r>
      <w:r>
        <w:rPr>
          <w:i/>
          <w:position w:val="-6"/>
          <w:szCs w:val="24"/>
        </w:rPr>
        <w:t>t</w:t>
      </w:r>
      <w:r>
        <w:rPr>
          <w:szCs w:val="24"/>
          <w:vertAlign w:val="subscript"/>
        </w:rPr>
        <w:t>max</w:t>
      </w:r>
      <w:r>
        <w:rPr>
          <w:position w:val="-6"/>
          <w:szCs w:val="24"/>
        </w:rPr>
        <w:t xml:space="preserve"> do uzyskania maksymalnej temperatury jest określony jako:</w:t>
      </w:r>
    </w:p>
    <w:p>
      <w:pPr>
        <w:pStyle w:val="Normal"/>
        <w:ind w:hanging="0" w:left="0"/>
        <w:jc w:val="left"/>
        <w:rPr>
          <w:rFonts w:ascii="Times New Roman" w:hAnsi="Times New Roman"/>
        </w:rPr>
      </w:pPr>
      <w:r>
        <w:rPr/>
      </w:r>
      <m:oMathPara xmlns:m="http://schemas.openxmlformats.org/officeDocument/2006/math">
        <m:oMathParaPr>
          <m:jc m:val="left"/>
        </m:oMathParaPr>
        <m:oMath>
          <m:sSub>
            <m:e>
              <m:r>
                <w:rPr>
                  <w:rFonts w:ascii="Cambria Math" w:hAnsi="Cambria Math"/>
                </w:rPr>
                <m:t xml:space="preserve">t</m:t>
              </m:r>
            </m:e>
            <m:sub>
              <m:r>
                <m:rPr>
                  <m:lit/>
                  <m:nor/>
                </m:rPr>
                <w:rPr>
                  <w:rFonts w:ascii="Cambria Math" w:hAnsi="Cambria Math"/>
                </w:rPr>
                <m:t xml:space="preserve">max</m:t>
              </m:r>
            </m:sub>
          </m:sSub>
          <m:r>
            <m:rPr>
              <m:lit/>
              <m:nor/>
            </m:rPr>
            <w:rPr>
              <w:rFonts w:ascii="Cambria Math" w:hAnsi="Cambria Math"/>
            </w:rPr>
            <m:t xml:space="preserve">=</m:t>
          </m:r>
          <m:r>
            <m:rPr>
              <m:lit/>
              <m:nor/>
            </m:rPr>
            <w:rPr>
              <w:rFonts w:ascii="Cambria Math" w:hAnsi="Cambria Math"/>
            </w:rPr>
            <m:t xml:space="preserve">max</m:t>
          </m:r>
          <m:d>
            <m:dPr>
              <m:begChr m:val="⟨"/>
              <m:endChr m:val="⟩"/>
            </m:dPr>
            <m:e>
              <m:f>
                <m:num>
                  <m:r>
                    <w:rPr>
                      <w:rFonts w:ascii="Cambria Math" w:hAnsi="Cambria Math"/>
                    </w:rPr>
                    <m:t xml:space="preserve">0,2</m:t>
                  </m:r>
                  <m:r>
                    <w:rPr>
                      <w:rFonts w:ascii="Cambria Math" w:hAnsi="Cambria Math"/>
                    </w:rPr>
                    <m:t xml:space="preserve">⋅</m:t>
                  </m:r>
                  <m:sSup>
                    <m:e>
                      <m:r>
                        <m:rPr>
                          <m:lit/>
                          <m:nor/>
                        </m:rPr>
                        <w:rPr>
                          <w:rFonts w:ascii="Cambria Math" w:hAnsi="Cambria Math"/>
                        </w:rPr>
                        <m:t xml:space="preserve">10</m:t>
                      </m:r>
                    </m:e>
                    <m:sup>
                      <m:r>
                        <w:rPr>
                          <w:rFonts w:ascii="Cambria Math" w:hAnsi="Cambria Math"/>
                        </w:rPr>
                        <m:t xml:space="preserve">−</m:t>
                      </m:r>
                      <m:r>
                        <w:rPr>
                          <w:rFonts w:ascii="Cambria Math" w:hAnsi="Cambria Math"/>
                        </w:rPr>
                        <m:t xml:space="preserve">3</m:t>
                      </m:r>
                    </m:sup>
                  </m:sSup>
                  <m:sSub>
                    <m:e>
                      <m:r>
                        <w:rPr>
                          <w:rFonts w:ascii="Cambria Math" w:hAnsi="Cambria Math"/>
                        </w:rPr>
                        <m:t xml:space="preserve">q</m:t>
                      </m:r>
                    </m:e>
                    <m:sub>
                      <m:r>
                        <w:rPr>
                          <w:rFonts w:ascii="Cambria Math" w:hAnsi="Cambria Math"/>
                        </w:rPr>
                        <m:t xml:space="preserve">t</m:t>
                      </m:r>
                      <m:r>
                        <w:rPr>
                          <w:rFonts w:ascii="Cambria Math" w:hAnsi="Cambria Math"/>
                        </w:rPr>
                        <m:t xml:space="preserve">,</m:t>
                      </m:r>
                      <m:r>
                        <w:rPr>
                          <w:rFonts w:ascii="Cambria Math" w:hAnsi="Cambria Math"/>
                        </w:rPr>
                        <m:t xml:space="preserve">d</m:t>
                      </m:r>
                    </m:sub>
                  </m:sSub>
                </m:num>
                <m:den>
                  <m:r>
                    <w:rPr>
                      <w:rFonts w:ascii="Cambria Math" w:hAnsi="Cambria Math"/>
                    </w:rPr>
                    <m:t xml:space="preserve">O</m:t>
                  </m:r>
                </m:den>
              </m:f>
              <m:r>
                <w:rPr>
                  <w:rFonts w:ascii="Cambria Math" w:hAnsi="Cambria Math"/>
                </w:rPr>
                <m:t xml:space="preserve">;</m:t>
              </m:r>
              <m:sSub>
                <m:e>
                  <m:r>
                    <w:rPr>
                      <w:rFonts w:ascii="Cambria Math" w:hAnsi="Cambria Math"/>
                    </w:rPr>
                    <m:t xml:space="preserve">t</m:t>
                  </m:r>
                </m:e>
                <m:sub>
                  <m:r>
                    <m:rPr>
                      <m:lit/>
                      <m:nor/>
                    </m:rPr>
                    <w:rPr>
                      <w:rFonts w:ascii="Cambria Math" w:hAnsi="Cambria Math"/>
                    </w:rPr>
                    <m:t xml:space="preserve">lim</m:t>
                  </m:r>
                </m:sub>
              </m:sSub>
            </m:e>
          </m:d>
          <m:r>
            <m:rPr>
              <m:lit/>
              <m:nor/>
            </m:rPr>
            <w:rPr>
              <w:rFonts w:ascii="Cambria Math" w:hAnsi="Cambria Math"/>
            </w:rPr>
            <m:t xml:space="preserve">=</m:t>
          </m:r>
          <m:r>
            <m:rPr>
              <m:lit/>
              <m:nor/>
            </m:rPr>
            <w:rPr>
              <w:rFonts w:ascii="Cambria Math" w:hAnsi="Cambria Math"/>
            </w:rPr>
            <m:t xml:space="preserve">max</m:t>
          </m:r>
          <m:d>
            <m:dPr>
              <m:begChr m:val="⟨"/>
              <m:endChr m:val="⟩"/>
            </m:dPr>
            <m:e>
              <m:r>
                <w:rPr>
                  <w:rFonts w:ascii="Cambria Math" w:hAnsi="Cambria Math"/>
                </w:rPr>
                <m:t xml:space="preserve">0</m:t>
              </m:r>
              <m:r>
                <w:rPr>
                  <w:rFonts w:ascii="Cambria Math" w:hAnsi="Cambria Math"/>
                </w:rPr>
                <m:t xml:space="preserve">,</m:t>
              </m:r>
              <m:r>
                <m:rPr>
                  <m:lit/>
                  <m:nor/>
                </m:rPr>
                <w:rPr>
                  <w:rFonts w:ascii="Cambria Math" w:hAnsi="Cambria Math"/>
                </w:rPr>
                <m:t xml:space="preserve">625</m:t>
              </m:r>
              <m:r>
                <w:rPr>
                  <w:rFonts w:ascii="Cambria Math" w:hAnsi="Cambria Math"/>
                </w:rPr>
                <m:t xml:space="preserve">;</m:t>
              </m:r>
              <m:r>
                <w:rPr>
                  <w:rFonts w:ascii="Cambria Math" w:hAnsi="Cambria Math"/>
                </w:rPr>
                <m:t xml:space="preserve">0</m:t>
              </m:r>
              <m:r>
                <w:rPr>
                  <w:rFonts w:ascii="Cambria Math" w:hAnsi="Cambria Math"/>
                </w:rPr>
                <m:t xml:space="preserve">,</m:t>
              </m:r>
              <m:r>
                <m:rPr>
                  <m:lit/>
                  <m:nor/>
                </m:rPr>
                <w:rPr>
                  <w:rFonts w:ascii="Cambria Math" w:hAnsi="Cambria Math"/>
                </w:rPr>
                <m:t xml:space="preserve">4167</m:t>
              </m:r>
            </m:e>
          </m:d>
          <m:r>
            <m:rPr>
              <m:lit/>
              <m:nor/>
            </m:rPr>
            <w:rPr>
              <w:rFonts w:ascii="Cambria Math" w:hAnsi="Cambria Math"/>
            </w:rPr>
            <m:t xml:space="preserve">=</m:t>
          </m:r>
          <m:r>
            <w:rPr>
              <w:rFonts w:ascii="Cambria Math" w:hAnsi="Cambria Math"/>
            </w:rPr>
            <m:t xml:space="preserve">0</m:t>
          </m:r>
          <m:r>
            <w:rPr>
              <w:rFonts w:ascii="Cambria Math" w:hAnsi="Cambria Math"/>
            </w:rPr>
            <m:t xml:space="preserve">,</m:t>
          </m:r>
          <m:r>
            <m:rPr>
              <m:lit/>
              <m:nor/>
            </m:rPr>
            <w:rPr>
              <w:rFonts w:ascii="Cambria Math" w:hAnsi="Cambria Math"/>
            </w:rPr>
            <m:t xml:space="preserve">625</m:t>
          </m:r>
        </m:oMath>
      </m:oMathPara>
    </w:p>
    <w:p>
      <w:pPr>
        <w:pStyle w:val="Normal"/>
        <w:spacing w:lineRule="auto" w:line="240"/>
        <w:ind w:hanging="567" w:left="1276" w:right="0"/>
        <w:rPr>
          <w:rFonts w:ascii="Times New Roman" w:hAnsi="Times New Roman"/>
          <w:szCs w:val="24"/>
        </w:rPr>
      </w:pPr>
      <w:r>
        <w:rPr>
          <w:szCs w:val="24"/>
        </w:rPr>
      </w:r>
    </w:p>
    <w:p>
      <w:pPr>
        <w:pStyle w:val="Normal"/>
        <w:spacing w:lineRule="auto" w:line="240"/>
        <w:ind w:hanging="567" w:left="1276" w:right="0"/>
        <w:rPr>
          <w:rFonts w:ascii="Times New Roman" w:hAnsi="Times New Roman"/>
          <w:szCs w:val="24"/>
        </w:rPr>
      </w:pPr>
      <w:r>
        <w:rPr>
          <w:szCs w:val="24"/>
        </w:rPr>
        <w:t>gdzie:</w:t>
      </w:r>
    </w:p>
    <w:p>
      <w:pPr>
        <w:pStyle w:val="Normal"/>
        <w:spacing w:lineRule="auto" w:line="240"/>
        <w:ind w:hanging="567" w:left="1276" w:right="0"/>
        <w:rPr>
          <w:rFonts w:ascii="Times New Roman" w:hAnsi="Times New Roman"/>
        </w:rPr>
      </w:pPr>
      <w:r>
        <w:rPr>
          <w:szCs w:val="24"/>
        </w:rPr>
        <w:t>t</w:t>
      </w:r>
      <w:r>
        <w:rPr>
          <w:szCs w:val="24"/>
          <w:vertAlign w:val="subscript"/>
        </w:rPr>
        <w:t>max</w:t>
      </w:r>
      <w:r>
        <w:rPr>
          <w:szCs w:val="24"/>
        </w:rPr>
        <w:t xml:space="preserve"> – oznacza czas (wyrażony w godzinach) upływający od początku pożaru do wystąpienia maksymalnej temperatury gazu</w:t>
      </w:r>
    </w:p>
    <w:p>
      <w:pPr>
        <w:pStyle w:val="Normal"/>
        <w:spacing w:lineRule="auto" w:line="240"/>
        <w:ind w:hanging="567" w:left="1276" w:right="0"/>
        <w:rPr>
          <w:rFonts w:ascii="Times New Roman" w:hAnsi="Times New Roman"/>
        </w:rPr>
      </w:pPr>
      <w:r>
        <w:rPr>
          <w:szCs w:val="24"/>
        </w:rPr>
        <w:t>t</w:t>
      </w:r>
      <w:r>
        <w:rPr>
          <w:szCs w:val="24"/>
          <w:vertAlign w:val="subscript"/>
        </w:rPr>
        <w:t>lim</w:t>
      </w:r>
      <w:r>
        <w:rPr>
          <w:szCs w:val="24"/>
        </w:rPr>
        <w:t xml:space="preserve"> – oznacza czas (wyrażony w godzinach) upływający do wystąpienia maksymalnej temperatury gazu w przypadku pożaru kontrolowanego za pomocą paliwa. Wartość t</w:t>
      </w:r>
      <w:r>
        <w:rPr>
          <w:szCs w:val="24"/>
          <w:vertAlign w:val="subscript"/>
        </w:rPr>
        <w:t>lim</w:t>
      </w:r>
      <w:r>
        <w:rPr>
          <w:szCs w:val="24"/>
        </w:rPr>
        <w:t xml:space="preserve"> zależy od prędkości rozwoju pożaru; przyjmuje się t</w:t>
      </w:r>
      <w:r>
        <w:rPr>
          <w:szCs w:val="24"/>
          <w:vertAlign w:val="subscript"/>
        </w:rPr>
        <w:t>lim</w:t>
      </w:r>
      <w:r>
        <w:rPr>
          <w:szCs w:val="24"/>
        </w:rPr>
        <w:t xml:space="preserve"> równe 15, 20 lub 25 min – odpowiednio dla dużej, średniej i małej prędkości rozwoju pożaru.</w:t>
      </w:r>
    </w:p>
    <w:p>
      <w:pPr>
        <w:pStyle w:val="Normal"/>
        <w:spacing w:before="200" w:after="0"/>
        <w:ind w:hanging="0" w:left="0"/>
        <w:rPr>
          <w:rFonts w:ascii="Times New Roman" w:hAnsi="Times New Roman"/>
        </w:rPr>
      </w:pPr>
      <w:r>
        <w:rPr>
          <w:b/>
          <w:position w:val="-6"/>
          <w:szCs w:val="24"/>
        </w:rPr>
        <w:t>W rozpatrywanym przypadku pożar kontrolowany jest przez wentylację, ponieważ t</w:t>
      </w:r>
      <w:r>
        <w:rPr>
          <w:b/>
          <w:szCs w:val="24"/>
          <w:vertAlign w:val="subscript"/>
        </w:rPr>
        <w:t>max</w:t>
      </w:r>
      <w:r>
        <w:rPr>
          <w:b/>
          <w:position w:val="-6"/>
          <w:szCs w:val="24"/>
        </w:rPr>
        <w:t xml:space="preserve"> jest określone pierwszym członem powyższej zależności.  </w:t>
      </w:r>
    </w:p>
    <w:p>
      <w:pPr>
        <w:pStyle w:val="Normal"/>
        <w:spacing w:before="200" w:after="0"/>
        <w:ind w:hanging="0" w:left="0"/>
        <w:rPr>
          <w:rFonts w:ascii="Times New Roman" w:hAnsi="Times New Roman"/>
        </w:rPr>
      </w:pPr>
      <w:r>
        <w:rPr>
          <w:position w:val="-6"/>
          <w:szCs w:val="24"/>
        </w:rPr>
        <w:t>Czas do uzyskania maksymalnej temperatury, uwzględniając otwory i absorpcyjność termiczną t</w:t>
      </w:r>
      <w:r>
        <w:rPr>
          <w:szCs w:val="24"/>
          <w:vertAlign w:val="superscript"/>
        </w:rPr>
        <w:t>*</w:t>
      </w:r>
      <w:r>
        <w:rPr>
          <w:szCs w:val="24"/>
          <w:vertAlign w:val="subscript"/>
        </w:rPr>
        <w:t>max</w:t>
      </w:r>
      <w:r>
        <w:rPr>
          <w:position w:val="-6"/>
          <w:szCs w:val="24"/>
        </w:rPr>
        <w:t xml:space="preserve"> jest określony jako:</w:t>
      </w:r>
    </w:p>
    <w:p>
      <w:pPr>
        <w:pStyle w:val="Normal"/>
        <w:ind w:hanging="0" w:left="0"/>
        <w:jc w:val="center"/>
        <w:rPr>
          <w:rFonts w:ascii="Times New Roman" w:hAnsi="Times New Roman"/>
          <w:szCs w:val="24"/>
        </w:rPr>
      </w:pPr>
      <w:r>
        <w:rPr/>
      </w:r>
      <m:oMathPara xmlns:m="http://schemas.openxmlformats.org/officeDocument/2006/math">
        <m:oMathParaPr>
          <m:jc m:val="center"/>
        </m:oMathParaPr>
        <m:oMath>
          <m:sSup>
            <m:e>
              <m:r>
                <w:rPr>
                  <w:rFonts w:ascii="Cambria Math" w:hAnsi="Cambria Math"/>
                </w:rPr>
                <m:t xml:space="preserve">t</m:t>
              </m:r>
            </m:e>
            <m:sup/>
          </m:sSup>
          <m:r>
            <m:rPr>
              <m:lit/>
              <m:nor/>
            </m:rPr>
            <w:rPr>
              <w:rFonts w:ascii="Cambria Math" w:hAnsi="Cambria Math"/>
            </w:rPr>
            <m:t xml:space="preserve">=</m:t>
          </m:r>
          <m:sSub>
            <m:e>
              <m:r>
                <w:rPr>
                  <w:rFonts w:ascii="Cambria Math" w:hAnsi="Cambria Math"/>
                </w:rPr>
                <m:t xml:space="preserve">t</m:t>
              </m:r>
            </m:e>
            <m:sub>
              <m:r>
                <m:rPr>
                  <m:lit/>
                  <m:nor/>
                </m:rPr>
                <w:rPr>
                  <w:rFonts w:ascii="Cambria Math" w:hAnsi="Cambria Math"/>
                </w:rPr>
                <m:t xml:space="preserve">max</m:t>
              </m:r>
            </m:sub>
          </m:sSub>
          <m:r>
            <w:rPr>
              <w:rFonts w:ascii="Cambria Math" w:hAnsi="Cambria Math"/>
            </w:rPr>
            <m:t xml:space="preserve">⋅</m:t>
          </m:r>
          <m:r>
            <w:rPr>
              <w:rFonts w:ascii="Cambria Math" w:hAnsi="Cambria Math"/>
            </w:rPr>
            <m:t xml:space="preserve">Γ</m:t>
          </m:r>
          <m:r>
            <m:rPr>
              <m:lit/>
              <m:nor/>
            </m:rPr>
            <w:rPr>
              <w:rFonts w:ascii="Cambria Math" w:hAnsi="Cambria Math"/>
            </w:rPr>
            <m:t xml:space="preserve">=</m:t>
          </m:r>
          <m:r>
            <w:rPr>
              <w:rFonts w:ascii="Cambria Math" w:hAnsi="Cambria Math"/>
            </w:rPr>
            <m:t xml:space="preserve">0</m:t>
          </m:r>
          <m:r>
            <w:rPr>
              <w:rFonts w:ascii="Cambria Math" w:hAnsi="Cambria Math"/>
            </w:rPr>
            <m:t xml:space="preserve">,</m:t>
          </m:r>
          <m:r>
            <m:rPr>
              <m:lit/>
              <m:nor/>
            </m:rPr>
            <w:rPr>
              <w:rFonts w:ascii="Cambria Math" w:hAnsi="Cambria Math"/>
            </w:rPr>
            <m:t xml:space="preserve">86</m:t>
          </m:r>
        </m:oMath>
      </m:oMathPara>
    </w:p>
    <w:p>
      <w:pPr>
        <w:pStyle w:val="Normal"/>
        <w:ind w:hanging="0" w:left="0"/>
        <w:rPr>
          <w:rFonts w:ascii="Times New Roman" w:hAnsi="Times New Roman"/>
          <w:szCs w:val="24"/>
        </w:rPr>
      </w:pPr>
      <w:r>
        <w:rPr>
          <w:szCs w:val="24"/>
        </w:rPr>
        <w:t>Maksymalna temperatura gazu:</w:t>
      </w:r>
    </w:p>
    <w:p>
      <w:pPr>
        <w:pStyle w:val="Normal"/>
        <w:ind w:hanging="0" w:left="0"/>
        <w:jc w:val="center"/>
        <w:rPr>
          <w:rFonts w:ascii="Times New Roman" w:hAnsi="Times New Roman"/>
        </w:rPr>
      </w:pPr>
      <w:r>
        <w:rPr/>
      </w:r>
      <m:oMathPara xmlns:m="http://schemas.openxmlformats.org/officeDocument/2006/math">
        <m:oMathParaPr>
          <m:jc m:val="center"/>
        </m:oMathParaPr>
        <m:oMath>
          <m:sSub>
            <m:e>
              <m:r>
                <w:rPr>
                  <w:rFonts w:ascii="Cambria Math" w:hAnsi="Cambria Math"/>
                </w:rPr>
                <m:t xml:space="preserve">Θ</m:t>
              </m:r>
            </m:e>
            <m:sub>
              <m:r>
                <m:rPr>
                  <m:lit/>
                  <m:nor/>
                </m:rPr>
                <w:rPr>
                  <w:rFonts w:ascii="Cambria Math" w:hAnsi="Cambria Math"/>
                </w:rPr>
                <m:t xml:space="preserve">max</m:t>
              </m:r>
            </m:sub>
          </m:sSub>
          <m:r>
            <m:rPr>
              <m:lit/>
              <m:nor/>
            </m:rPr>
            <w:rPr>
              <w:rFonts w:ascii="Cambria Math" w:hAnsi="Cambria Math"/>
            </w:rPr>
            <m:t xml:space="preserve">=</m:t>
          </m:r>
          <m:r>
            <m:rPr>
              <m:lit/>
              <m:nor/>
            </m:rPr>
            <w:rPr>
              <w:rFonts w:ascii="Cambria Math" w:hAnsi="Cambria Math"/>
            </w:rPr>
            <m:t xml:space="preserve">20</m:t>
          </m:r>
          <m:r>
            <m:rPr>
              <m:lit/>
              <m:nor/>
            </m:rPr>
            <w:rPr>
              <w:rFonts w:ascii="Cambria Math" w:hAnsi="Cambria Math"/>
            </w:rPr>
            <m:t xml:space="preserve">+</m:t>
          </m:r>
          <m:r>
            <m:rPr>
              <m:lit/>
              <m:nor/>
            </m:rPr>
            <w:rPr>
              <w:rFonts w:ascii="Cambria Math" w:hAnsi="Cambria Math"/>
            </w:rPr>
            <m:t xml:space="preserve">1325</m:t>
          </m:r>
          <m:d>
            <m:dPr>
              <m:begChr m:val="("/>
              <m:endChr m:val=")"/>
            </m:dPr>
            <m:e>
              <m:r>
                <w:rPr>
                  <w:rFonts w:ascii="Cambria Math" w:hAnsi="Cambria Math"/>
                </w:rPr>
                <m:t xml:space="preserve">1</m:t>
              </m:r>
              <m:r>
                <w:rPr>
                  <w:rFonts w:ascii="Cambria Math" w:hAnsi="Cambria Math"/>
                </w:rPr>
                <m:t xml:space="preserve">−</m:t>
              </m:r>
              <m:r>
                <w:rPr>
                  <w:rFonts w:ascii="Cambria Math" w:hAnsi="Cambria Math"/>
                </w:rPr>
                <m:t xml:space="preserve">0</m:t>
              </m:r>
              <m:r>
                <w:rPr>
                  <w:rFonts w:ascii="Cambria Math" w:hAnsi="Cambria Math"/>
                </w:rPr>
                <m:t xml:space="preserve">,</m:t>
              </m:r>
              <m:r>
                <m:rPr>
                  <m:lit/>
                  <m:nor/>
                </m:rPr>
                <w:rPr>
                  <w:rFonts w:ascii="Cambria Math" w:hAnsi="Cambria Math"/>
                </w:rPr>
                <m:t xml:space="preserve">324</m:t>
              </m:r>
              <m:sSup>
                <m:e>
                  <m:r>
                    <w:rPr>
                      <w:rFonts w:ascii="Cambria Math" w:hAnsi="Cambria Math"/>
                    </w:rPr>
                    <m:t xml:space="preserve">e</m:t>
                  </m:r>
                </m:e>
                <m:sup>
                  <m:r>
                    <w:rPr>
                      <w:rFonts w:ascii="Cambria Math" w:hAnsi="Cambria Math"/>
                    </w:rPr>
                    <m:t xml:space="preserve">−</m:t>
                  </m:r>
                  <m:r>
                    <w:rPr>
                      <w:rFonts w:ascii="Cambria Math" w:hAnsi="Cambria Math"/>
                    </w:rPr>
                    <m:t xml:space="preserve">0,2</m:t>
                  </m:r>
                  <m:sSup>
                    <m:e>
                      <m:r>
                        <w:rPr>
                          <w:rFonts w:ascii="Cambria Math" w:hAnsi="Cambria Math"/>
                        </w:rPr>
                        <m:t xml:space="preserve">t</m:t>
                      </m:r>
                    </m:e>
                    <m:sup/>
                  </m:sSup>
                </m:sup>
              </m:sSup>
              <m:r>
                <w:rPr>
                  <w:rFonts w:ascii="Cambria Math" w:hAnsi="Cambria Math"/>
                </w:rPr>
                <m:t xml:space="preserve">−</m:t>
              </m:r>
              <m:r>
                <w:rPr>
                  <w:rFonts w:ascii="Cambria Math" w:hAnsi="Cambria Math"/>
                </w:rPr>
                <m:t xml:space="preserve">0</m:t>
              </m:r>
              <m:r>
                <w:rPr>
                  <w:rFonts w:ascii="Cambria Math" w:hAnsi="Cambria Math"/>
                </w:rPr>
                <m:t xml:space="preserve">,</m:t>
              </m:r>
              <m:r>
                <m:rPr>
                  <m:lit/>
                  <m:nor/>
                </m:rPr>
                <w:rPr>
                  <w:rFonts w:ascii="Cambria Math" w:hAnsi="Cambria Math"/>
                </w:rPr>
                <m:t xml:space="preserve">204</m:t>
              </m:r>
              <m:sSup>
                <m:e>
                  <m:r>
                    <w:rPr>
                      <w:rFonts w:ascii="Cambria Math" w:hAnsi="Cambria Math"/>
                    </w:rPr>
                    <m:t xml:space="preserve">e</m:t>
                  </m:r>
                </m:e>
                <m:sup>
                  <m:r>
                    <w:rPr>
                      <w:rFonts w:ascii="Cambria Math" w:hAnsi="Cambria Math"/>
                    </w:rPr>
                    <m:t xml:space="preserve">−</m:t>
                  </m:r>
                  <m:r>
                    <w:rPr>
                      <w:rFonts w:ascii="Cambria Math" w:hAnsi="Cambria Math"/>
                    </w:rPr>
                    <m:t xml:space="preserve">1,7</m:t>
                  </m:r>
                  <m:sSup>
                    <m:e>
                      <m:r>
                        <w:rPr>
                          <w:rFonts w:ascii="Cambria Math" w:hAnsi="Cambria Math"/>
                        </w:rPr>
                        <m:t xml:space="preserve">t</m:t>
                      </m:r>
                    </m:e>
                    <m:sup/>
                  </m:sSup>
                </m:sup>
              </m:sSup>
              <m:r>
                <w:rPr>
                  <w:rFonts w:ascii="Cambria Math" w:hAnsi="Cambria Math"/>
                </w:rPr>
                <m:t xml:space="preserve">−</m:t>
              </m:r>
              <m:r>
                <w:rPr>
                  <w:rFonts w:ascii="Cambria Math" w:hAnsi="Cambria Math"/>
                </w:rPr>
                <m:t xml:space="preserve">0</m:t>
              </m:r>
              <m:r>
                <w:rPr>
                  <w:rFonts w:ascii="Cambria Math" w:hAnsi="Cambria Math"/>
                </w:rPr>
                <m:t xml:space="preserve">,</m:t>
              </m:r>
              <m:r>
                <m:rPr>
                  <m:lit/>
                  <m:nor/>
                </m:rPr>
                <w:rPr>
                  <w:rFonts w:ascii="Cambria Math" w:hAnsi="Cambria Math"/>
                </w:rPr>
                <m:t xml:space="preserve">472</m:t>
              </m:r>
              <m:sSup>
                <m:e>
                  <m:r>
                    <w:rPr>
                      <w:rFonts w:ascii="Cambria Math" w:hAnsi="Cambria Math"/>
                    </w:rPr>
                    <m:t xml:space="preserve">e</m:t>
                  </m:r>
                </m:e>
                <m:sup>
                  <m:r>
                    <w:rPr>
                      <w:rFonts w:ascii="Cambria Math" w:hAnsi="Cambria Math"/>
                    </w:rPr>
                    <m:t xml:space="preserve">−</m:t>
                  </m:r>
                  <m:r>
                    <m:rPr>
                      <m:lit/>
                      <m:nor/>
                    </m:rPr>
                    <w:rPr>
                      <w:rFonts w:ascii="Cambria Math" w:hAnsi="Cambria Math"/>
                    </w:rPr>
                    <m:t xml:space="preserve">19</m:t>
                  </m:r>
                  <m:sSup>
                    <m:e>
                      <m:r>
                        <w:rPr>
                          <w:rFonts w:ascii="Cambria Math" w:hAnsi="Cambria Math"/>
                        </w:rPr>
                        <m:t xml:space="preserve">t</m:t>
                      </m:r>
                    </m:e>
                    <m:sup/>
                  </m:sSup>
                </m:sup>
              </m:sSup>
            </m:e>
          </m:d>
          <m:r>
            <m:rPr>
              <m:lit/>
              <m:nor/>
            </m:rPr>
            <w:rPr>
              <w:rFonts w:ascii="Cambria Math" w:hAnsi="Cambria Math"/>
            </w:rPr>
            <m:t xml:space="preserve">=</m:t>
          </m:r>
          <m:sSup>
            <m:e>
              <m:r>
                <m:rPr>
                  <m:lit/>
                  <m:nor/>
                </m:rPr>
                <w:rPr>
                  <w:rFonts w:ascii="Cambria Math" w:hAnsi="Cambria Math"/>
                </w:rPr>
                <m:t xml:space="preserve">923</m:t>
              </m:r>
            </m:e>
            <m:sup>
              <m:r>
                <w:rPr>
                  <w:rFonts w:ascii="Cambria Math" w:hAnsi="Cambria Math"/>
                </w:rPr>
                <m:t xml:space="preserve">o</m:t>
              </m:r>
            </m:sup>
          </m:sSup>
          <m:r>
            <w:rPr>
              <w:rFonts w:ascii="Cambria Math" w:hAnsi="Cambria Math"/>
            </w:rPr>
            <m:t xml:space="preserve">C</m:t>
          </m:r>
        </m:oMath>
      </m:oMathPara>
    </w:p>
    <w:p>
      <w:pPr>
        <w:pStyle w:val="Normal"/>
        <w:ind w:hanging="0" w:left="0"/>
        <w:rPr>
          <w:rFonts w:ascii="Times New Roman" w:hAnsi="Times New Roman"/>
          <w:b/>
          <w:szCs w:val="24"/>
        </w:rPr>
      </w:pPr>
      <w:r>
        <w:rPr>
          <w:b/>
          <w:szCs w:val="24"/>
        </w:rPr>
      </w:r>
    </w:p>
    <w:p>
      <w:pPr>
        <w:pStyle w:val="Normal"/>
        <w:ind w:hanging="0" w:left="0"/>
        <w:rPr>
          <w:rFonts w:ascii="Times New Roman" w:hAnsi="Times New Roman"/>
          <w:b/>
        </w:rPr>
      </w:pPr>
      <w:r>
        <w:rPr>
          <w:b/>
          <w:position w:val="-13"/>
        </w:rPr>
        <w:t xml:space="preserve">Krzywa w fazie nagrzewania określona jest zależnością  </w:t>
      </w:r>
    </w:p>
    <w:p>
      <w:pPr>
        <w:pStyle w:val="Normal"/>
        <w:ind w:hanging="0" w:left="0"/>
        <w:jc w:val="center"/>
        <w:rPr>
          <w:rFonts w:ascii="Times New Roman" w:hAnsi="Times New Roman"/>
          <w:szCs w:val="24"/>
        </w:rPr>
      </w:pPr>
      <w:r>
        <w:rPr/>
      </w:r>
      <m:oMathPara xmlns:m="http://schemas.openxmlformats.org/officeDocument/2006/math">
        <m:oMathParaPr>
          <m:jc m:val="center"/>
        </m:oMathParaPr>
        <m:oMath>
          <m:sSub>
            <m:e>
              <m:r>
                <w:rPr>
                  <w:rFonts w:ascii="Cambria Math" w:hAnsi="Cambria Math"/>
                </w:rPr>
                <m:t xml:space="preserve">Θ</m:t>
              </m:r>
            </m:e>
            <m:sub>
              <m:r>
                <w:rPr>
                  <w:rFonts w:ascii="Cambria Math" w:hAnsi="Cambria Math"/>
                </w:rPr>
                <m:t xml:space="preserve">g</m:t>
              </m:r>
              <m:r>
                <w:rPr>
                  <w:rFonts w:ascii="Cambria Math" w:hAnsi="Cambria Math"/>
                </w:rPr>
                <m:t xml:space="preserve">,</m:t>
              </m:r>
              <m:r>
                <w:rPr>
                  <w:rFonts w:ascii="Cambria Math" w:hAnsi="Cambria Math"/>
                </w:rPr>
                <m:t xml:space="preserve">t</m:t>
              </m:r>
            </m:sub>
          </m:sSub>
          <m:r>
            <m:rPr>
              <m:lit/>
              <m:nor/>
            </m:rPr>
            <w:rPr>
              <w:rFonts w:ascii="Cambria Math" w:hAnsi="Cambria Math"/>
            </w:rPr>
            <m:t xml:space="preserve">=</m:t>
          </m:r>
          <m:r>
            <m:rPr>
              <m:lit/>
              <m:nor/>
            </m:rPr>
            <w:rPr>
              <w:rFonts w:ascii="Cambria Math" w:hAnsi="Cambria Math"/>
            </w:rPr>
            <m:t xml:space="preserve">20</m:t>
          </m:r>
          <m:r>
            <m:rPr>
              <m:lit/>
              <m:nor/>
            </m:rPr>
            <w:rPr>
              <w:rFonts w:ascii="Cambria Math" w:hAnsi="Cambria Math"/>
            </w:rPr>
            <m:t xml:space="preserve">+</m:t>
          </m:r>
          <m:r>
            <m:rPr>
              <m:lit/>
              <m:nor/>
            </m:rPr>
            <w:rPr>
              <w:rFonts w:ascii="Cambria Math" w:hAnsi="Cambria Math"/>
            </w:rPr>
            <m:t xml:space="preserve">1325</m:t>
          </m:r>
          <m:d>
            <m:dPr>
              <m:begChr m:val="("/>
              <m:endChr m:val=")"/>
            </m:dPr>
            <m:e>
              <m:r>
                <w:rPr>
                  <w:rFonts w:ascii="Cambria Math" w:hAnsi="Cambria Math"/>
                </w:rPr>
                <m:t xml:space="preserve">1</m:t>
              </m:r>
              <m:r>
                <w:rPr>
                  <w:rFonts w:ascii="Cambria Math" w:hAnsi="Cambria Math"/>
                </w:rPr>
                <m:t xml:space="preserve">−</m:t>
              </m:r>
              <m:r>
                <w:rPr>
                  <w:rFonts w:ascii="Cambria Math" w:hAnsi="Cambria Math"/>
                </w:rPr>
                <m:t xml:space="preserve">0</m:t>
              </m:r>
              <m:r>
                <w:rPr>
                  <w:rFonts w:ascii="Cambria Math" w:hAnsi="Cambria Math"/>
                </w:rPr>
                <m:t xml:space="preserve">,</m:t>
              </m:r>
              <m:r>
                <m:rPr>
                  <m:lit/>
                  <m:nor/>
                </m:rPr>
                <w:rPr>
                  <w:rFonts w:ascii="Cambria Math" w:hAnsi="Cambria Math"/>
                </w:rPr>
                <m:t xml:space="preserve">324</m:t>
              </m:r>
              <m:sSup>
                <m:e>
                  <m:r>
                    <w:rPr>
                      <w:rFonts w:ascii="Cambria Math" w:hAnsi="Cambria Math"/>
                    </w:rPr>
                    <m:t xml:space="preserve">e</m:t>
                  </m:r>
                </m:e>
                <m:sup>
                  <m:r>
                    <w:rPr>
                      <w:rFonts w:ascii="Cambria Math" w:hAnsi="Cambria Math"/>
                    </w:rPr>
                    <m:t xml:space="preserve">−</m:t>
                  </m:r>
                  <m:r>
                    <w:rPr>
                      <w:rFonts w:ascii="Cambria Math" w:hAnsi="Cambria Math"/>
                    </w:rPr>
                    <m:t xml:space="preserve">0,2</m:t>
                  </m:r>
                  <m:sSup>
                    <m:e>
                      <m:r>
                        <w:rPr>
                          <w:rFonts w:ascii="Cambria Math" w:hAnsi="Cambria Math"/>
                        </w:rPr>
                        <m:t xml:space="preserve">t</m:t>
                      </m:r>
                    </m:e>
                    <m:sup/>
                  </m:sSup>
                </m:sup>
              </m:sSup>
              <m:r>
                <w:rPr>
                  <w:rFonts w:ascii="Cambria Math" w:hAnsi="Cambria Math"/>
                </w:rPr>
                <m:t xml:space="preserve">−</m:t>
              </m:r>
              <m:r>
                <w:rPr>
                  <w:rFonts w:ascii="Cambria Math" w:hAnsi="Cambria Math"/>
                </w:rPr>
                <m:t xml:space="preserve">0</m:t>
              </m:r>
              <m:r>
                <w:rPr>
                  <w:rFonts w:ascii="Cambria Math" w:hAnsi="Cambria Math"/>
                </w:rPr>
                <m:t xml:space="preserve">,</m:t>
              </m:r>
              <m:r>
                <m:rPr>
                  <m:lit/>
                  <m:nor/>
                </m:rPr>
                <w:rPr>
                  <w:rFonts w:ascii="Cambria Math" w:hAnsi="Cambria Math"/>
                </w:rPr>
                <m:t xml:space="preserve">204</m:t>
              </m:r>
              <m:sSup>
                <m:e>
                  <m:r>
                    <w:rPr>
                      <w:rFonts w:ascii="Cambria Math" w:hAnsi="Cambria Math"/>
                    </w:rPr>
                    <m:t xml:space="preserve">e</m:t>
                  </m:r>
                </m:e>
                <m:sup>
                  <m:r>
                    <w:rPr>
                      <w:rFonts w:ascii="Cambria Math" w:hAnsi="Cambria Math"/>
                    </w:rPr>
                    <m:t xml:space="preserve">−</m:t>
                  </m:r>
                  <m:r>
                    <w:rPr>
                      <w:rFonts w:ascii="Cambria Math" w:hAnsi="Cambria Math"/>
                    </w:rPr>
                    <m:t xml:space="preserve">1,7</m:t>
                  </m:r>
                  <m:sSup>
                    <m:e>
                      <m:r>
                        <w:rPr>
                          <w:rFonts w:ascii="Cambria Math" w:hAnsi="Cambria Math"/>
                        </w:rPr>
                        <m:t xml:space="preserve">t</m:t>
                      </m:r>
                    </m:e>
                    <m:sup/>
                  </m:sSup>
                </m:sup>
              </m:sSup>
              <m:r>
                <w:rPr>
                  <w:rFonts w:ascii="Cambria Math" w:hAnsi="Cambria Math"/>
                </w:rPr>
                <m:t xml:space="preserve">−</m:t>
              </m:r>
              <m:r>
                <w:rPr>
                  <w:rFonts w:ascii="Cambria Math" w:hAnsi="Cambria Math"/>
                </w:rPr>
                <m:t xml:space="preserve">0</m:t>
              </m:r>
              <m:r>
                <w:rPr>
                  <w:rFonts w:ascii="Cambria Math" w:hAnsi="Cambria Math"/>
                </w:rPr>
                <m:t xml:space="preserve">,</m:t>
              </m:r>
              <m:r>
                <m:rPr>
                  <m:lit/>
                  <m:nor/>
                </m:rPr>
                <w:rPr>
                  <w:rFonts w:ascii="Cambria Math" w:hAnsi="Cambria Math"/>
                </w:rPr>
                <m:t xml:space="preserve">472</m:t>
              </m:r>
              <m:sSup>
                <m:e>
                  <m:r>
                    <w:rPr>
                      <w:rFonts w:ascii="Cambria Math" w:hAnsi="Cambria Math"/>
                    </w:rPr>
                    <m:t xml:space="preserve">e</m:t>
                  </m:r>
                </m:e>
                <m:sup>
                  <m:r>
                    <w:rPr>
                      <w:rFonts w:ascii="Cambria Math" w:hAnsi="Cambria Math"/>
                    </w:rPr>
                    <m:t xml:space="preserve">−</m:t>
                  </m:r>
                  <m:r>
                    <w:rPr>
                      <w:rFonts w:ascii="Cambria Math" w:hAnsi="Cambria Math"/>
                    </w:rPr>
                    <m:t xml:space="preserve">1,9</m:t>
                  </m:r>
                  <m:sSup>
                    <m:e>
                      <m:r>
                        <w:rPr>
                          <w:rFonts w:ascii="Cambria Math" w:hAnsi="Cambria Math"/>
                        </w:rPr>
                        <m:t xml:space="preserve">t</m:t>
                      </m:r>
                    </m:e>
                    <m:sup/>
                  </m:sSup>
                </m:sup>
              </m:sSup>
            </m:e>
          </m:d>
        </m:oMath>
      </m:oMathPara>
    </w:p>
    <w:p>
      <w:pPr>
        <w:pStyle w:val="Normal"/>
        <w:ind w:hanging="0" w:left="0"/>
        <w:rPr>
          <w:rFonts w:ascii="Times New Roman" w:hAnsi="Times New Roman"/>
        </w:rPr>
      </w:pPr>
      <w:r>
        <w:rPr>
          <w:position w:val="-14"/>
          <w:szCs w:val="24"/>
        </w:rPr>
        <w:t>Gdzie czas t</w:t>
      </w:r>
      <w:r>
        <w:rPr>
          <w:szCs w:val="24"/>
          <w:vertAlign w:val="superscript"/>
        </w:rPr>
        <w:t>*</w:t>
      </w:r>
      <w:r>
        <w:rPr>
          <w:position w:val="-14"/>
          <w:szCs w:val="24"/>
        </w:rPr>
        <w:t xml:space="preserve"> jest wyznaczony jako </w:t>
      </w:r>
    </w:p>
    <w:p>
      <w:pPr>
        <w:pStyle w:val="Normal"/>
        <w:ind w:hanging="0" w:left="0"/>
        <w:jc w:val="center"/>
        <w:rPr>
          <w:rFonts w:ascii="Times New Roman" w:hAnsi="Times New Roman"/>
          <w:szCs w:val="24"/>
        </w:rPr>
      </w:pPr>
      <w:r>
        <w:rPr/>
      </w:r>
      <m:oMathPara xmlns:m="http://schemas.openxmlformats.org/officeDocument/2006/math">
        <m:oMathParaPr>
          <m:jc m:val="center"/>
        </m:oMathParaPr>
        <m:oMath>
          <m:sSup>
            <m:e>
              <m:r>
                <w:rPr>
                  <w:rFonts w:ascii="Cambria Math" w:hAnsi="Cambria Math"/>
                </w:rPr>
                <m:t xml:space="preserve">t</m:t>
              </m:r>
            </m:e>
            <m:sup/>
          </m:sSup>
          <m:r>
            <m:rPr>
              <m:lit/>
              <m:nor/>
            </m:rPr>
            <w:rPr>
              <w:rFonts w:ascii="Cambria Math" w:hAnsi="Cambria Math"/>
            </w:rPr>
            <m:t xml:space="preserve">=</m:t>
          </m:r>
          <m:r>
            <w:rPr>
              <w:rFonts w:ascii="Cambria Math" w:hAnsi="Cambria Math"/>
            </w:rPr>
            <m:t xml:space="preserve">t</m:t>
          </m:r>
          <m:r>
            <w:rPr>
              <w:rFonts w:ascii="Cambria Math" w:hAnsi="Cambria Math"/>
            </w:rPr>
            <m:t xml:space="preserve">⋅</m:t>
          </m:r>
          <m:r>
            <w:rPr>
              <w:rFonts w:ascii="Cambria Math" w:hAnsi="Cambria Math"/>
            </w:rPr>
            <m:t xml:space="preserve">Γ</m:t>
          </m:r>
        </m:oMath>
      </m:oMathPara>
    </w:p>
    <w:p>
      <w:pPr>
        <w:pStyle w:val="Normal"/>
        <w:ind w:hanging="0" w:left="0"/>
        <w:rPr>
          <w:rFonts w:ascii="Times New Roman" w:hAnsi="Times New Roman"/>
          <w:b/>
          <w:szCs w:val="24"/>
        </w:rPr>
      </w:pPr>
      <w:r>
        <w:rPr>
          <w:b/>
          <w:szCs w:val="24"/>
        </w:rPr>
      </w:r>
    </w:p>
    <w:p>
      <w:pPr>
        <w:pStyle w:val="Normal"/>
        <w:ind w:hanging="0" w:left="0"/>
        <w:rPr>
          <w:rFonts w:ascii="Times New Roman" w:hAnsi="Times New Roman"/>
          <w:b/>
          <w:szCs w:val="24"/>
        </w:rPr>
      </w:pPr>
      <w:r>
        <w:rPr>
          <w:b/>
          <w:position w:val="-6"/>
          <w:szCs w:val="24"/>
        </w:rPr>
        <w:t>Krzywa w fazie chłodzenia</w:t>
      </w:r>
    </w:p>
    <w:p>
      <w:pPr>
        <w:pStyle w:val="Normal"/>
        <w:ind w:hanging="0" w:left="0"/>
        <w:rPr>
          <w:rFonts w:ascii="Times New Roman" w:hAnsi="Times New Roman"/>
        </w:rPr>
      </w:pPr>
      <w:r>
        <w:rPr>
          <w:position w:val="-6"/>
          <w:szCs w:val="24"/>
        </w:rPr>
        <w:t>W przypadku 0,5&lt;t</w:t>
      </w:r>
      <w:r>
        <w:rPr>
          <w:szCs w:val="24"/>
          <w:vertAlign w:val="superscript"/>
        </w:rPr>
        <w:t>*</w:t>
      </w:r>
      <w:r>
        <w:rPr>
          <w:szCs w:val="24"/>
          <w:vertAlign w:val="subscript"/>
        </w:rPr>
        <w:t>max</w:t>
      </w:r>
      <w:r>
        <w:rPr>
          <w:position w:val="-6"/>
          <w:szCs w:val="24"/>
        </w:rPr>
        <w:t xml:space="preserve"> &lt;2 krzywa jest w fazie chłodzenia i jest określona zależnością: </w:t>
      </w:r>
    </w:p>
    <w:p>
      <w:pPr>
        <w:pStyle w:val="Normal"/>
        <w:ind w:hanging="0" w:left="0"/>
        <w:jc w:val="center"/>
        <w:rPr>
          <w:rFonts w:ascii="Times New Roman" w:hAnsi="Times New Roman"/>
          <w:szCs w:val="24"/>
        </w:rPr>
      </w:pPr>
      <w:r>
        <w:rPr/>
      </w:r>
      <m:oMathPara xmlns:m="http://schemas.openxmlformats.org/officeDocument/2006/math">
        <m:oMathParaPr>
          <m:jc m:val="center"/>
        </m:oMathParaPr>
        <m:oMath>
          <m:sSub>
            <m:e>
              <m:r>
                <w:rPr>
                  <w:rFonts w:ascii="Cambria Math" w:hAnsi="Cambria Math"/>
                </w:rPr>
                <m:t xml:space="preserve">Θ</m:t>
              </m:r>
            </m:e>
            <m:sub>
              <m:r>
                <w:rPr>
                  <w:rFonts w:ascii="Cambria Math" w:hAnsi="Cambria Math"/>
                </w:rPr>
                <m:t xml:space="preserve">g</m:t>
              </m:r>
            </m:sub>
          </m:sSub>
          <m:r>
            <m:rPr>
              <m:lit/>
              <m:nor/>
            </m:rPr>
            <w:rPr>
              <w:rFonts w:ascii="Cambria Math" w:hAnsi="Cambria Math"/>
            </w:rPr>
            <m:t xml:space="preserve">=</m:t>
          </m:r>
          <m:sSub>
            <m:e>
              <m:r>
                <w:rPr>
                  <w:rFonts w:ascii="Cambria Math" w:hAnsi="Cambria Math"/>
                </w:rPr>
                <m:t xml:space="preserve">Θ</m:t>
              </m:r>
            </m:e>
            <m:sub>
              <m:r>
                <m:rPr>
                  <m:lit/>
                  <m:nor/>
                </m:rPr>
                <w:rPr>
                  <w:rFonts w:ascii="Cambria Math" w:hAnsi="Cambria Math"/>
                </w:rPr>
                <m:t xml:space="preserve">max</m:t>
              </m:r>
            </m:sub>
          </m:sSub>
          <m:r>
            <w:rPr>
              <w:rFonts w:ascii="Cambria Math" w:hAnsi="Cambria Math"/>
            </w:rPr>
            <m:t xml:space="preserve">−</m:t>
          </m:r>
          <m:r>
            <m:rPr>
              <m:lit/>
              <m:nor/>
            </m:rPr>
            <w:rPr>
              <w:rFonts w:ascii="Cambria Math" w:hAnsi="Cambria Math"/>
            </w:rPr>
            <m:t xml:space="preserve">250</m:t>
          </m:r>
          <m:r>
            <w:rPr>
              <w:rFonts w:ascii="Cambria Math" w:hAnsi="Cambria Math"/>
            </w:rPr>
            <m:t xml:space="preserve">⋅</m:t>
          </m:r>
          <m:d>
            <m:dPr>
              <m:begChr m:val="("/>
              <m:endChr m:val=")"/>
            </m:dPr>
            <m:e>
              <m:r>
                <w:rPr>
                  <w:rFonts w:ascii="Cambria Math" w:hAnsi="Cambria Math"/>
                </w:rPr>
                <m:t xml:space="preserve">3</m:t>
              </m:r>
              <m:r>
                <w:rPr>
                  <w:rFonts w:ascii="Cambria Math" w:hAnsi="Cambria Math"/>
                </w:rPr>
                <m:t xml:space="preserve">−</m:t>
              </m:r>
              <m:sSup>
                <m:e>
                  <m:r>
                    <w:rPr>
                      <w:rFonts w:ascii="Cambria Math" w:hAnsi="Cambria Math"/>
                    </w:rPr>
                    <m:t xml:space="preserve">t</m:t>
                  </m:r>
                </m:e>
                <m:sup>
                  <m:sSub>
                    <m:e/>
                    <m:sub>
                      <m:r>
                        <m:rPr>
                          <m:lit/>
                          <m:nor/>
                        </m:rPr>
                        <w:rPr>
                          <w:rFonts w:ascii="Cambria Math" w:hAnsi="Cambria Math"/>
                        </w:rPr>
                        <m:t xml:space="preserve">max</m:t>
                      </m:r>
                    </m:sub>
                  </m:sSub>
                </m:sup>
              </m:sSup>
            </m:e>
          </m:d>
          <m:r>
            <w:rPr>
              <w:rFonts w:ascii="Cambria Math" w:hAnsi="Cambria Math"/>
            </w:rPr>
            <m:t xml:space="preserve">⋅</m:t>
          </m:r>
          <m:d>
            <m:dPr>
              <m:begChr m:val="("/>
              <m:endChr m:val=")"/>
            </m:dPr>
            <m:e>
              <m:sSup>
                <m:e>
                  <m:r>
                    <w:rPr>
                      <w:rFonts w:ascii="Cambria Math" w:hAnsi="Cambria Math"/>
                    </w:rPr>
                    <m:t xml:space="preserve">t</m:t>
                  </m:r>
                </m:e>
                <m:sup/>
              </m:sSup>
              <m:r>
                <w:rPr>
                  <w:rFonts w:ascii="Cambria Math" w:hAnsi="Cambria Math"/>
                </w:rPr>
                <m:t xml:space="preserve">−</m:t>
              </m:r>
              <m:sSup>
                <m:e>
                  <m:r>
                    <w:rPr>
                      <w:rFonts w:ascii="Cambria Math" w:hAnsi="Cambria Math"/>
                    </w:rPr>
                    <m:t xml:space="preserve">t</m:t>
                  </m:r>
                </m:e>
                <m:sup>
                  <m:sSub>
                    <m:e/>
                    <m:sub>
                      <m:r>
                        <m:rPr>
                          <m:lit/>
                          <m:nor/>
                        </m:rPr>
                        <w:rPr>
                          <w:rFonts w:ascii="Cambria Math" w:hAnsi="Cambria Math"/>
                        </w:rPr>
                        <m:t xml:space="preserve">max</m:t>
                      </m:r>
                    </m:sub>
                  </m:sSub>
                </m:sup>
              </m:sSup>
              <m:r>
                <w:rPr>
                  <w:rFonts w:ascii="Cambria Math" w:hAnsi="Cambria Math"/>
                </w:rPr>
                <m:t xml:space="preserve">⋅</m:t>
              </m:r>
              <m:r>
                <w:rPr>
                  <w:rFonts w:ascii="Cambria Math" w:hAnsi="Cambria Math"/>
                </w:rPr>
                <m:t xml:space="preserve">x</m:t>
              </m:r>
            </m:e>
          </m:d>
          <m:r>
            <m:rPr>
              <m:lit/>
              <m:nor/>
            </m:rPr>
            <w:rPr>
              <w:rFonts w:ascii="Cambria Math" w:hAnsi="Cambria Math"/>
            </w:rPr>
            <m:t xml:space="preserve">=</m:t>
          </m:r>
          <m:r>
            <m:rPr>
              <m:lit/>
              <m:nor/>
            </m:rPr>
            <w:rPr>
              <w:rFonts w:ascii="Cambria Math" w:hAnsi="Cambria Math"/>
            </w:rPr>
            <m:t xml:space="preserve">1383</m:t>
          </m:r>
          <m:r>
            <w:rPr>
              <w:rFonts w:ascii="Cambria Math" w:hAnsi="Cambria Math"/>
            </w:rPr>
            <m:t xml:space="preserve">−</m:t>
          </m:r>
          <m:r>
            <m:rPr>
              <m:lit/>
              <m:nor/>
            </m:rPr>
            <w:rPr>
              <w:rFonts w:ascii="Cambria Math" w:hAnsi="Cambria Math"/>
            </w:rPr>
            <m:t xml:space="preserve">535</m:t>
          </m:r>
          <m:sSup>
            <m:e>
              <m:r>
                <w:rPr>
                  <w:rFonts w:ascii="Cambria Math" w:hAnsi="Cambria Math"/>
                </w:rPr>
                <m:t xml:space="preserve">t</m:t>
              </m:r>
            </m:e>
            <m:sup/>
          </m:sSup>
        </m:oMath>
      </m:oMathPara>
    </w:p>
    <w:p>
      <w:pPr>
        <w:pStyle w:val="Normal"/>
        <w:spacing w:lineRule="auto" w:line="276"/>
        <w:ind w:hanging="0" w:left="0" w:right="0"/>
        <w:jc w:val="left"/>
        <w:rPr>
          <w:rFonts w:ascii="Times New Roman" w:hAnsi="Times New Roman"/>
          <w:szCs w:val="24"/>
        </w:rPr>
      </w:pPr>
      <w:r>
        <w:rPr>
          <w:szCs w:val="24"/>
        </w:rPr>
        <w:t xml:space="preserve">gdzie  współczynnik x przyjmowany w przypadku pożaru kontrolowanego za pomocą wentylacji wynosi 1. </w:t>
      </w:r>
    </w:p>
    <w:p>
      <w:pPr>
        <w:pStyle w:val="Normal"/>
        <w:spacing w:lineRule="auto" w:line="276"/>
        <w:ind w:hanging="0" w:left="0" w:right="0"/>
        <w:jc w:val="left"/>
        <w:rPr>
          <w:rFonts w:ascii="Times New Roman" w:hAnsi="Times New Roman"/>
          <w:szCs w:val="24"/>
        </w:rPr>
      </w:pPr>
      <w:r>
        <w:rPr>
          <w:szCs w:val="24"/>
        </w:rPr>
      </w:r>
    </w:p>
    <w:p>
      <w:pPr>
        <w:pStyle w:val="Normal"/>
        <w:spacing w:lineRule="auto" w:line="276"/>
        <w:ind w:hanging="0" w:left="0" w:right="0"/>
        <w:jc w:val="left"/>
        <w:rPr>
          <w:rFonts w:ascii="Times New Roman" w:hAnsi="Times New Roman"/>
          <w:szCs w:val="24"/>
        </w:rPr>
      </w:pPr>
      <w:r>
        <w:rPr>
          <w:szCs w:val="24"/>
        </w:rPr>
        <w:t>Zatem krzywa wynikowa przedstawia się następująco:</w:t>
      </w:r>
    </w:p>
    <w:p>
      <w:pPr>
        <w:pStyle w:val="Normal"/>
        <w:spacing w:lineRule="auto" w:line="276"/>
        <w:ind w:hanging="0" w:left="0" w:right="0"/>
        <w:jc w:val="center"/>
        <w:rPr>
          <w:rFonts w:ascii="Times New Roman" w:hAnsi="Times New Roman"/>
          <w:szCs w:val="24"/>
          <w:lang w:val="pl-PL" w:eastAsia="pl-PL"/>
        </w:rPr>
      </w:pPr>
      <w:r>
        <w:rPr/>
        <w:drawing>
          <wp:inline distT="0" distB="0" distL="0" distR="0">
            <wp:extent cx="4590415" cy="3218815"/>
            <wp:effectExtent l="0" t="0" r="0" b="0"/>
            <wp:docPr id="2" name="Wykre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ykres 1"/>
                    <pic:cNvPicPr>
                      <a:picLocks noChangeAspect="1" noChangeArrowheads="1"/>
                    </pic:cNvPicPr>
                  </pic:nvPicPr>
                  <pic:blipFill>
                    <a:blip r:embed="rId2"/>
                    <a:srcRect l="-16" t="-22" r="-16" b="-22"/>
                    <a:stretch>
                      <a:fillRect/>
                    </a:stretch>
                  </pic:blipFill>
                  <pic:spPr bwMode="auto">
                    <a:xfrm>
                      <a:off x="0" y="0"/>
                      <a:ext cx="4590415" cy="3218815"/>
                    </a:xfrm>
                    <a:prstGeom prst="rect">
                      <a:avLst/>
                    </a:prstGeom>
                    <a:noFill/>
                  </pic:spPr>
                </pic:pic>
              </a:graphicData>
            </a:graphic>
          </wp:inline>
        </w:drawing>
      </w:r>
    </w:p>
    <w:p>
      <w:pPr>
        <w:pStyle w:val="Normal"/>
        <w:ind w:hanging="0" w:left="0"/>
        <w:rPr>
          <w:rFonts w:ascii="Times New Roman" w:hAnsi="Times New Roman"/>
        </w:rPr>
      </w:pPr>
      <w:r>
        <w:rPr/>
        <w:t xml:space="preserve">Z analizy otrzymanych wyników krzywej parametrycznej, przyjmując że pożar rozwija się swobodnie w jednej z klas. Przez pierwsze 7 minut następuje wzrost temperatury w strefie, następnie po upływie pożar jest kontrolowany przez wentylację co powoduje że stopniowo następuje chłodzenie strefy spalania. W przypadku, gdy pomieszczenie to jest zamknięte następuje ograniczona możliwość rozwoju pożaru na sąsiednie pomieszczenia co zwiększa możliwości skutecznego przeprowadzenia gaszenia pożaru przez przybyłe jednostki ochrony przeciwpożarowej.    </w:t>
      </w:r>
    </w:p>
    <w:p>
      <w:pPr>
        <w:pStyle w:val="Heading1"/>
        <w:ind w:hanging="284" w:left="284" w:right="0"/>
        <w:rPr>
          <w:sz w:val="26"/>
          <w:szCs w:val="26"/>
        </w:rPr>
      </w:pPr>
      <w:bookmarkStart w:id="32" w:name="__RefHeading___Toc411372049"/>
      <w:bookmarkEnd w:id="32"/>
      <w:r>
        <w:rPr>
          <w:sz w:val="26"/>
          <w:szCs w:val="26"/>
        </w:rPr>
        <w:t xml:space="preserve">Zakres niezgodności z przepisami techniczno-budowlanymi i przeciwpożarowymi </w:t>
      </w:r>
    </w:p>
    <w:p>
      <w:pPr>
        <w:pStyle w:val="Akapitzlist"/>
        <w:numPr>
          <w:ilvl w:val="0"/>
          <w:numId w:val="12"/>
        </w:numPr>
        <w:ind w:hanging="360" w:left="360" w:right="0"/>
        <w:rPr>
          <w:rFonts w:ascii="Times New Roman" w:hAnsi="Times New Roman"/>
          <w:b/>
        </w:rPr>
      </w:pPr>
      <w:r>
        <w:rPr>
          <w:rFonts w:ascii="Times New Roman" w:hAnsi="Times New Roman"/>
          <w:b/>
        </w:rPr>
        <w:t>Brak podziału korytarzy stanowiących drogę ewakuacyjną na odcinki nie dłuższe niż 50 m przy zastosowaniu przegród z drzwiami dymoszczelnymi lub innych urządzeń technicznych, zapobiegających rozprzestrzeniania się dymu.</w:t>
      </w:r>
    </w:p>
    <w:p>
      <w:pPr>
        <w:pStyle w:val="Akapitzlist"/>
        <w:numPr>
          <w:ilvl w:val="0"/>
          <w:numId w:val="12"/>
        </w:numPr>
        <w:ind w:hanging="360" w:left="360" w:right="0"/>
        <w:rPr>
          <w:rFonts w:ascii="Times New Roman" w:hAnsi="Times New Roman"/>
          <w:b/>
        </w:rPr>
      </w:pPr>
      <w:r>
        <w:rPr>
          <w:rFonts w:ascii="Times New Roman" w:hAnsi="Times New Roman"/>
          <w:b/>
        </w:rPr>
        <w:t xml:space="preserve">Brak wydzielenia przeciwpożarowego pomieszczenia kotłowni drzwiami o klasie odporności ogniowej co najmniej EI 30. </w:t>
      </w:r>
    </w:p>
    <w:p>
      <w:pPr>
        <w:pStyle w:val="Akapitzlist"/>
        <w:numPr>
          <w:ilvl w:val="0"/>
          <w:numId w:val="12"/>
        </w:numPr>
        <w:ind w:hanging="360" w:left="360" w:right="0"/>
        <w:rPr>
          <w:rFonts w:ascii="Times New Roman" w:hAnsi="Times New Roman"/>
          <w:b/>
        </w:rPr>
      </w:pPr>
      <w:r>
        <w:rPr>
          <w:rFonts w:ascii="Times New Roman" w:hAnsi="Times New Roman"/>
          <w:b/>
        </w:rPr>
        <w:t>Brak zapewnienia wymaganych szerokości biegów oraz spoczników dla klatki schodowej K1.</w:t>
      </w:r>
    </w:p>
    <w:p>
      <w:pPr>
        <w:pStyle w:val="Akapitzlist"/>
        <w:numPr>
          <w:ilvl w:val="0"/>
          <w:numId w:val="12"/>
        </w:numPr>
        <w:ind w:hanging="360" w:left="360" w:right="0"/>
        <w:rPr>
          <w:rFonts w:ascii="Times New Roman" w:hAnsi="Times New Roman"/>
          <w:b/>
        </w:rPr>
      </w:pPr>
      <w:r>
        <w:rPr>
          <w:rFonts w:ascii="Times New Roman" w:hAnsi="Times New Roman"/>
          <w:b/>
        </w:rPr>
        <w:t>Nie zapewnienie wymaganej szerokości drzwi prowadzących z klatki schodowej K1 na zewnątrz budynku.</w:t>
      </w:r>
    </w:p>
    <w:p>
      <w:pPr>
        <w:pStyle w:val="Akapitzlist"/>
        <w:numPr>
          <w:ilvl w:val="0"/>
          <w:numId w:val="12"/>
        </w:numPr>
        <w:ind w:hanging="360" w:left="360" w:right="0"/>
        <w:rPr>
          <w:rFonts w:ascii="Times New Roman" w:hAnsi="Times New Roman"/>
          <w:b/>
        </w:rPr>
      </w:pPr>
      <w:r>
        <w:rPr>
          <w:rFonts w:ascii="Times New Roman" w:hAnsi="Times New Roman"/>
          <w:b/>
        </w:rPr>
        <w:t>Brak wyposażenia wszystkich kondygnacji w budynku w hydranty wewnętrzne 25 z wężem półsztywnym.</w:t>
      </w:r>
    </w:p>
    <w:p>
      <w:pPr>
        <w:pStyle w:val="Akapitzlist"/>
        <w:numPr>
          <w:ilvl w:val="0"/>
          <w:numId w:val="12"/>
        </w:numPr>
        <w:suppressAutoHyphens w:val="true"/>
        <w:spacing w:before="0" w:after="160"/>
        <w:ind w:hanging="360" w:left="360" w:right="0"/>
        <w:contextualSpacing/>
        <w:rPr>
          <w:rFonts w:ascii="Times New Roman" w:hAnsi="Times New Roman"/>
        </w:rPr>
      </w:pPr>
      <w:r>
        <w:rPr>
          <w:rFonts w:ascii="Times New Roman" w:hAnsi="Times New Roman"/>
          <w:b/>
          <w:szCs w:val="24"/>
        </w:rPr>
        <w:t>Brak zapewnienia wymaganej odległości między ścianą zewnętrzną budynku stanowiącą obudowę klatki schodowej K2 a inną ścianą zewnętrzną tego samego budynku, ze względu na nie spełnienie wymaganej klasy odporności ogniowej przez istniejące okna</w:t>
      </w:r>
      <w:r>
        <w:rPr>
          <w:rFonts w:ascii="Times New Roman" w:hAnsi="Times New Roman"/>
          <w:szCs w:val="24"/>
        </w:rPr>
        <w:t>.</w:t>
      </w:r>
    </w:p>
    <w:p>
      <w:pPr>
        <w:pStyle w:val="Akapitzlist"/>
        <w:numPr>
          <w:ilvl w:val="0"/>
          <w:numId w:val="12"/>
        </w:numPr>
        <w:suppressAutoHyphens w:val="true"/>
        <w:spacing w:before="0" w:after="160"/>
        <w:ind w:hanging="360" w:left="360" w:right="0"/>
        <w:contextualSpacing/>
        <w:rPr>
          <w:rFonts w:ascii="Times New Roman" w:hAnsi="Times New Roman"/>
          <w:b/>
          <w:szCs w:val="24"/>
        </w:rPr>
      </w:pPr>
      <w:r>
        <w:rPr>
          <w:rFonts w:ascii="Times New Roman" w:hAnsi="Times New Roman"/>
          <w:b/>
          <w:szCs w:val="24"/>
        </w:rPr>
        <w:t xml:space="preserve">Brak zapewnienia wymaganych szerokości nie mniejszej niż 0,9m drzwi do pomieszczeń sal lekcyjnych. </w:t>
      </w:r>
    </w:p>
    <w:p>
      <w:pPr>
        <w:pStyle w:val="Akapitzlist"/>
        <w:numPr>
          <w:ilvl w:val="0"/>
          <w:numId w:val="12"/>
        </w:numPr>
        <w:suppressAutoHyphens w:val="true"/>
        <w:spacing w:before="0" w:after="160"/>
        <w:ind w:hanging="360" w:left="360" w:right="0"/>
        <w:contextualSpacing/>
        <w:rPr>
          <w:rFonts w:ascii="Times New Roman" w:hAnsi="Times New Roman"/>
          <w:b/>
          <w:szCs w:val="24"/>
        </w:rPr>
      </w:pPr>
      <w:r>
        <w:rPr>
          <w:rFonts w:ascii="Times New Roman" w:hAnsi="Times New Roman"/>
          <w:b/>
          <w:szCs w:val="24"/>
        </w:rPr>
        <w:t>Brak wydzielenia poddasza nieużytkowego drzwiami o klasie odporności ogniowej EI 30.</w:t>
      </w:r>
    </w:p>
    <w:p>
      <w:pPr>
        <w:pStyle w:val="Akapitzlist"/>
        <w:numPr>
          <w:ilvl w:val="0"/>
          <w:numId w:val="12"/>
        </w:numPr>
        <w:suppressAutoHyphens w:val="true"/>
        <w:spacing w:before="0" w:after="160"/>
        <w:ind w:hanging="360" w:left="360" w:right="0"/>
        <w:contextualSpacing/>
        <w:rPr>
          <w:rFonts w:ascii="Times New Roman" w:hAnsi="Times New Roman"/>
          <w:b/>
          <w:szCs w:val="24"/>
        </w:rPr>
      </w:pPr>
      <w:r>
        <w:rPr>
          <w:rFonts w:ascii="Times New Roman" w:hAnsi="Times New Roman"/>
          <w:b/>
          <w:szCs w:val="24"/>
        </w:rPr>
        <w:t>Brak wydzielenia kondygnacji podziemnej drzwiami o klasie odporności ogniowej EI 30.</w:t>
      </w:r>
    </w:p>
    <w:p>
      <w:pPr>
        <w:pStyle w:val="Akapitzlist"/>
        <w:numPr>
          <w:ilvl w:val="0"/>
          <w:numId w:val="12"/>
        </w:numPr>
        <w:suppressAutoHyphens w:val="true"/>
        <w:spacing w:before="0" w:after="160"/>
        <w:ind w:hanging="360" w:left="360" w:right="0"/>
        <w:contextualSpacing/>
        <w:rPr>
          <w:rFonts w:ascii="Times New Roman" w:hAnsi="Times New Roman"/>
          <w:b/>
          <w:szCs w:val="24"/>
        </w:rPr>
      </w:pPr>
      <w:r>
        <w:rPr>
          <w:rFonts w:ascii="Times New Roman" w:hAnsi="Times New Roman"/>
          <w:b/>
          <w:szCs w:val="24"/>
        </w:rPr>
        <w:t>Przekroczona odległość drogi przeciw pożarowej od budynku o  ok. 13m.</w:t>
      </w:r>
    </w:p>
    <w:p>
      <w:pPr>
        <w:pStyle w:val="Normal"/>
        <w:ind w:hanging="0" w:left="0"/>
        <w:rPr>
          <w:rFonts w:ascii="Times New Roman" w:hAnsi="Times New Roman"/>
          <w:szCs w:val="24"/>
        </w:rPr>
      </w:pPr>
      <w:r>
        <w:rPr>
          <w:szCs w:val="24"/>
        </w:rPr>
      </w:r>
    </w:p>
    <w:p>
      <w:pPr>
        <w:pStyle w:val="Akapitzlist"/>
        <w:ind w:hanging="0" w:left="360" w:right="0"/>
        <w:rPr>
          <w:rFonts w:ascii="Times New Roman" w:hAnsi="Times New Roman"/>
          <w:b/>
        </w:rPr>
      </w:pPr>
      <w:r>
        <w:rPr>
          <w:rFonts w:ascii="Times New Roman" w:hAnsi="Times New Roman"/>
          <w:b/>
        </w:rPr>
      </w:r>
    </w:p>
    <w:p>
      <w:pPr>
        <w:pStyle w:val="Heading1"/>
        <w:rPr>
          <w:sz w:val="26"/>
          <w:szCs w:val="26"/>
        </w:rPr>
      </w:pPr>
      <w:bookmarkStart w:id="33" w:name="__RefHeading___Toc411372050"/>
      <w:bookmarkEnd w:id="33"/>
      <w:r>
        <w:rPr>
          <w:color w:val="000000"/>
          <w:sz w:val="26"/>
          <w:szCs w:val="26"/>
          <w:lang w:val="pl-PL"/>
        </w:rPr>
        <w:t xml:space="preserve">Przyjęte </w:t>
      </w:r>
      <w:r>
        <w:rPr>
          <w:color w:val="000000"/>
          <w:sz w:val="26"/>
          <w:szCs w:val="26"/>
        </w:rPr>
        <w:t>rozwiązania</w:t>
      </w:r>
      <w:r>
        <w:rPr>
          <w:color w:val="000000"/>
          <w:sz w:val="26"/>
          <w:szCs w:val="26"/>
          <w:lang w:val="pl-PL"/>
        </w:rPr>
        <w:t xml:space="preserve">  </w:t>
      </w:r>
    </w:p>
    <w:p>
      <w:pPr>
        <w:pStyle w:val="Normal"/>
        <w:ind w:hanging="0" w:left="0"/>
        <w:rPr>
          <w:rFonts w:ascii="Times New Roman" w:hAnsi="Times New Roman"/>
          <w:lang w:val="cs-CZ"/>
        </w:rPr>
      </w:pPr>
      <w:r>
        <w:rPr>
          <w:lang w:val="cs-CZ"/>
        </w:rPr>
        <w:t>W celu osiągnięcia akceptowalnego stanu zabezpieczenia przeciwpożarowego budynku, autor ekspertyzy uznaje za niezbędne zrealizowanie następującego zakresu prac w zakresie budowlanym i instalacyjnym:</w:t>
      </w:r>
    </w:p>
    <w:p>
      <w:pPr>
        <w:pStyle w:val="Normal"/>
        <w:widowControl w:val="false"/>
        <w:numPr>
          <w:ilvl w:val="0"/>
          <w:numId w:val="13"/>
        </w:numPr>
        <w:suppressAutoHyphens w:val="true"/>
        <w:overflowPunct w:val="false"/>
        <w:bidi w:val="0"/>
        <w:spacing w:lineRule="auto" w:line="276" w:before="0" w:after="200"/>
        <w:ind w:hanging="283" w:left="624" w:right="907"/>
        <w:jc w:val="left"/>
        <w:rPr>
          <w:rFonts w:ascii="Times New Roman" w:hAnsi="Times New Roman"/>
          <w:b/>
        </w:rPr>
      </w:pPr>
      <w:r>
        <w:rPr>
          <w:b/>
        </w:rPr>
        <w:t>Podział obiektu na trzy strefy pożarowe.</w:t>
      </w:r>
    </w:p>
    <w:p>
      <w:pPr>
        <w:pStyle w:val="Normal"/>
        <w:ind w:hanging="0" w:left="360" w:right="0"/>
        <w:rPr>
          <w:rFonts w:ascii="Times New Roman" w:hAnsi="Times New Roman"/>
        </w:rPr>
      </w:pPr>
      <w:r>
        <w:rPr/>
        <w:t xml:space="preserve">Należy wydzielić jako oddzielną strefę pożarową segment budynku obejmujący salę sportową. Ściany stanowiące element oddzielenia przeciwpożarowego wykonane są z materiałów niepalnych pustaków MAX o grubości 29cm oraz z pustaków z betonu komórkowego, które spełniają klasę odporności ogniowej REI 120. W ścianie oddzielenia przeciwpożarowego występujące drzwi należy wykonać w klasie odporności ogniowej EI 60. Istniejące wypełnianie otworu w ścianie oddzielenia przeciwpożarowego można wykonać materiałem przepuszczającym światło takim jak luksfery, cegła szklana lub inne przeszklenie pod warunkiem, że posiadają klasę odporności ogniowej EI 60.  </w:t>
      </w:r>
    </w:p>
    <w:p>
      <w:pPr>
        <w:pStyle w:val="Normal"/>
        <w:ind w:hanging="0" w:left="360" w:right="0"/>
        <w:rPr>
          <w:rFonts w:ascii="Times New Roman" w:hAnsi="Times New Roman"/>
        </w:rPr>
      </w:pPr>
      <w:r>
        <w:rPr/>
        <w:t xml:space="preserve">Przedmiotowe wydzielenie umożliwia traktowanie segmentów jako oddzielnych budynków zgodnie z § 210 przepisów techniczno-budowlanych ponieważ ściana oddzielenia przeciwpożarowego wzniesiona jest w pionie od fundamentu aż po dach. Przekrycie segmentów wykonane jest jako nierozprzestrzeniające ognia. </w:t>
      </w:r>
    </w:p>
    <w:p>
      <w:pPr>
        <w:pStyle w:val="Normal"/>
        <w:ind w:hanging="0" w:left="360" w:right="0"/>
        <w:rPr>
          <w:rFonts w:ascii="Times New Roman" w:hAnsi="Times New Roman"/>
        </w:rPr>
      </w:pPr>
      <w:r>
        <w:rPr/>
        <w:t>Pierwsza strefa Piwnica ZL III – 216 m</w:t>
      </w:r>
      <w:r>
        <w:rPr>
          <w:vertAlign w:val="superscript"/>
        </w:rPr>
        <w:t>2</w:t>
      </w:r>
      <w:r>
        <w:rPr/>
        <w:t>;</w:t>
      </w:r>
    </w:p>
    <w:p>
      <w:pPr>
        <w:pStyle w:val="Normal"/>
        <w:ind w:hanging="0" w:left="360" w:right="0"/>
        <w:rPr>
          <w:rFonts w:ascii="Times New Roman" w:hAnsi="Times New Roman"/>
        </w:rPr>
      </w:pPr>
      <w:r>
        <w:rPr/>
        <w:t>Druga strefa Parter oddziały przedszkolne  ZL II – 515,94 m</w:t>
      </w:r>
      <w:r>
        <w:rPr>
          <w:vertAlign w:val="superscript"/>
        </w:rPr>
        <w:t>2</w:t>
      </w:r>
      <w:r>
        <w:rPr/>
        <w:t>;</w:t>
      </w:r>
    </w:p>
    <w:p>
      <w:pPr>
        <w:pStyle w:val="Normal"/>
        <w:ind w:hanging="0" w:left="360" w:right="0"/>
        <w:rPr>
          <w:rFonts w:ascii="Times New Roman" w:hAnsi="Times New Roman"/>
        </w:rPr>
      </w:pPr>
      <w:r>
        <w:rPr/>
        <w:t xml:space="preserve">Trzecia strefa </w:t>
      </w:r>
      <w:r>
        <w:rPr/>
        <w:t>Zespól Szkolno-Przedszkolny</w:t>
      </w:r>
      <w:r>
        <w:rPr/>
        <w:t xml:space="preserve"> ZL III parter pierwsze i drugiego 1600 m</w:t>
      </w:r>
      <w:r>
        <w:rPr>
          <w:vertAlign w:val="superscript"/>
        </w:rPr>
        <w:t>2</w:t>
      </w:r>
      <w:r>
        <w:rPr/>
        <w:t>;</w:t>
      </w:r>
    </w:p>
    <w:p>
      <w:pPr>
        <w:pStyle w:val="Normal"/>
        <w:ind w:hanging="0" w:left="360" w:right="0"/>
        <w:rPr>
          <w:rFonts w:ascii="Times New Roman" w:hAnsi="Times New Roman"/>
        </w:rPr>
      </w:pPr>
      <w:r>
        <w:rPr/>
        <w:t>Czwarta strefa pożarowa Hala sportowa ZL I – 1142,3 m</w:t>
      </w:r>
      <w:r>
        <w:rPr>
          <w:vertAlign w:val="superscript"/>
        </w:rPr>
        <w:t>2</w:t>
      </w:r>
      <w:r>
        <w:rPr/>
        <w:t>.</w:t>
      </w:r>
    </w:p>
    <w:p>
      <w:pPr>
        <w:pStyle w:val="Normal"/>
        <w:ind w:hanging="0" w:left="360" w:right="0"/>
        <w:rPr>
          <w:rFonts w:ascii="Times New Roman" w:hAnsi="Times New Roman"/>
        </w:rPr>
      </w:pPr>
      <w:r>
        <w:rPr/>
        <w:t>Kotłownia zlokalizowana w kondygnacja podziemnej o mocy 2 piece x 200 kW gazowe.</w:t>
      </w:r>
    </w:p>
    <w:p>
      <w:pPr>
        <w:pStyle w:val="Normal"/>
        <w:widowControl w:val="false"/>
        <w:numPr>
          <w:ilvl w:val="0"/>
          <w:numId w:val="13"/>
        </w:numPr>
        <w:suppressAutoHyphens w:val="true"/>
        <w:overflowPunct w:val="false"/>
        <w:bidi w:val="0"/>
        <w:spacing w:lineRule="auto" w:line="276" w:before="0" w:after="200"/>
        <w:ind w:hanging="283" w:left="624" w:right="-57"/>
        <w:jc w:val="left"/>
        <w:rPr>
          <w:rFonts w:ascii="Times New Roman" w:hAnsi="Times New Roman"/>
        </w:rPr>
      </w:pPr>
      <w:r>
        <w:rPr>
          <w:b/>
        </w:rPr>
        <w:t>Przejścia instalacyjne przechodzące przez granice stref pożarowych (ścianę oddzielenia przeciwpożarowego należy wyposażyć w przepusty ognioodporne o klasie odporności ogniowej elementu oddzielenia przeciwpożarowego przez który przechodzą</w:t>
      </w:r>
      <w:r>
        <w:rPr>
          <w:b/>
          <w:i/>
          <w:szCs w:val="24"/>
        </w:rPr>
        <w:t>.</w:t>
      </w:r>
    </w:p>
    <w:p>
      <w:pPr>
        <w:pStyle w:val="Normal"/>
        <w:ind w:hanging="0" w:left="360" w:right="0"/>
        <w:rPr>
          <w:rFonts w:ascii="Times New Roman" w:hAnsi="Times New Roman"/>
        </w:rPr>
      </w:pPr>
      <w:r>
        <w:rPr/>
        <w:t xml:space="preserve">Istniejące przepusty instalacyjne występujące w ścianie oddzielenia przeciwpożarowego należy wykonać w klasie EI 120 odporności ogniowej.  </w:t>
      </w:r>
    </w:p>
    <w:p>
      <w:pPr>
        <w:pStyle w:val="Normal"/>
        <w:widowControl w:val="false"/>
        <w:numPr>
          <w:ilvl w:val="0"/>
          <w:numId w:val="13"/>
        </w:numPr>
        <w:suppressAutoHyphens w:val="true"/>
        <w:overflowPunct w:val="false"/>
        <w:bidi w:val="0"/>
        <w:spacing w:lineRule="auto" w:line="276" w:before="0" w:after="200"/>
        <w:ind w:hanging="283" w:left="680" w:right="510"/>
        <w:jc w:val="left"/>
        <w:rPr>
          <w:rFonts w:ascii="Times New Roman" w:hAnsi="Times New Roman"/>
          <w:b/>
        </w:rPr>
      </w:pPr>
      <w:r>
        <w:rPr>
          <w:b/>
        </w:rPr>
        <w:t>Zlokalizowanie oddziałów przedszkolnych w pomieszczeniach oznaczonych w dokumentacji technicznej jako 0.10 oraz 0.08.</w:t>
      </w:r>
    </w:p>
    <w:p>
      <w:pPr>
        <w:pStyle w:val="Normal"/>
        <w:widowControl w:val="false"/>
        <w:numPr>
          <w:ilvl w:val="0"/>
          <w:numId w:val="0"/>
        </w:numPr>
        <w:tabs>
          <w:tab w:val="clear" w:pos="708"/>
          <w:tab w:val="left" w:pos="540" w:leader="none"/>
        </w:tabs>
        <w:suppressAutoHyphens w:val="true"/>
        <w:overflowPunct w:val="false"/>
        <w:bidi w:val="0"/>
        <w:spacing w:lineRule="auto" w:line="276" w:before="0" w:after="200"/>
        <w:ind w:hanging="0" w:left="340" w:right="-227"/>
        <w:jc w:val="left"/>
        <w:rPr>
          <w:rFonts w:ascii="Times New Roman" w:hAnsi="Times New Roman"/>
          <w:szCs w:val="24"/>
        </w:rPr>
      </w:pPr>
      <w:r>
        <w:rPr>
          <w:szCs w:val="24"/>
        </w:rPr>
        <w:t xml:space="preserve">Pomieszczenia przedszkola mieszczą się w budynku szkoły na pierwszej kondygnacji nadziemnej i stanowią zespół przylegających do siebie pomieszczeń powiązanych funkcjonalnie. W poszczególnych oddziałach przedszkolnych przebywa do 50 dzieci. Łączna ilość dzieci nie przekracza 50. Budynek </w:t>
      </w:r>
      <w:r>
        <w:rPr>
          <w:szCs w:val="24"/>
        </w:rPr>
        <w:t>zespołu szkolno-przedszkolnego</w:t>
      </w:r>
      <w:r>
        <w:rPr>
          <w:szCs w:val="24"/>
        </w:rPr>
        <w:t xml:space="preserve"> wykonany jest w klasie odporności pożarowej C z elementów nierozprzestrzeniających ognia. Pomieszczenie przedszkola należy dodatkowo wyposażyć w gaśnicę o skuteczności gaśniczej co najmniej 21A. Stałe elementy wyposażenia i wystroju wnętrz oraz wykładziny podłogowe powinny posiadać klasyfikację reakcji na ogień jako trudno zapalne.</w:t>
      </w:r>
    </w:p>
    <w:p>
      <w:pPr>
        <w:pStyle w:val="Normal"/>
        <w:widowControl w:val="false"/>
        <w:numPr>
          <w:ilvl w:val="0"/>
          <w:numId w:val="13"/>
        </w:numPr>
        <w:suppressAutoHyphens w:val="true"/>
        <w:overflowPunct w:val="false"/>
        <w:bidi w:val="0"/>
        <w:spacing w:lineRule="auto" w:line="276" w:before="0" w:after="200"/>
        <w:ind w:hanging="283" w:left="624" w:right="-454"/>
        <w:jc w:val="left"/>
        <w:rPr>
          <w:rFonts w:ascii="Times New Roman" w:hAnsi="Times New Roman"/>
          <w:b/>
        </w:rPr>
      </w:pPr>
      <w:r>
        <w:rPr>
          <w:b/>
        </w:rPr>
        <w:t>Wyposażenie drzwi do oddziałów przedszkolnych o klasie odporności ogniowej EI 30 otwierane na zewnątrz oraz wyposażone w samozamykacze.</w:t>
      </w:r>
    </w:p>
    <w:p>
      <w:pPr>
        <w:pStyle w:val="Normal"/>
        <w:tabs>
          <w:tab w:val="clear" w:pos="708"/>
          <w:tab w:val="left" w:pos="540" w:leader="none"/>
        </w:tabs>
        <w:ind w:hanging="0" w:left="360" w:right="0"/>
        <w:rPr>
          <w:rFonts w:ascii="Times New Roman" w:hAnsi="Times New Roman"/>
          <w:szCs w:val="24"/>
        </w:rPr>
      </w:pPr>
      <w:r>
        <w:rPr>
          <w:szCs w:val="24"/>
        </w:rPr>
        <w:t xml:space="preserve">Ściany wewnętrzne w pomieszczeniach przeznaczonych na oddziały przedszkolne posiadają wymaganą klasę odporności ogniowej EI 30. Należy wymienić drzwi prowadzące z przedmiotowych pomieszczeń na drogi ewakuacyjne wewnątrz budynku na drzwi o klasie odporności ogniowej EI 30 otwierane na zewnątrz oraz wyposażone w urządzenia zapewniające samoczynne zamykania otworu w razie pożaru (samozamykacze). Przedmiotowe drzwi powinny posiadać szerokość w świetle ościeżnicy 0,9 m i wysokość co najmniej 2 m. Z oddziałów przedszkolnych zapewniono dojścia ewakuacyjne prowadzące drogami ewakuacyjnymi wewnątrz budynku bezpośrednio na przestrzeń otwartą lub do sąsiedniej strefy pożarowej o długości nie przekraczającej 20 m. </w:t>
      </w:r>
    </w:p>
    <w:p>
      <w:pPr>
        <w:pStyle w:val="Normal"/>
        <w:tabs>
          <w:tab w:val="clear" w:pos="708"/>
          <w:tab w:val="left" w:pos="540" w:leader="none"/>
        </w:tabs>
        <w:ind w:hanging="0" w:left="360" w:right="0"/>
        <w:rPr>
          <w:rFonts w:ascii="Times New Roman" w:hAnsi="Times New Roman"/>
          <w:szCs w:val="24"/>
        </w:rPr>
      </w:pPr>
      <w:r>
        <w:rPr>
          <w:szCs w:val="24"/>
        </w:rPr>
        <w:t>Szatnia dla dzieci przedszkolnych znajduje się w sąsiednim segmencie budynku stanowiącym oddzielną strefę pożarową zaliczoną do kategorii zagrożenia ludzi ZL III. Przedmiotowe pomieszczenie znajduje się na poziomie pierwszej kondygnacji nadziemnej. Z pomieszczenia szatni zapewniono dwa kierunki ewakuacji a przedmiotowe dojścia ewakuacyjne nie pokrywają się oraz nie krzyżują. Pierwszy kierunek dojścia prowadzi droga komunikacji ogólnej oznaczoną w ekspertyzie jako 0.23 do sąsiedniej strefy pożarowej, przy czym długość dojścia wynosi 8 m natomiast drugie dojście prowadzi bezpośrednio przy pomieszczeniach szatni oddzielonych od komunikacji ścianą pełną murowana a następnie do drzwi wyjściowych stanowiących wyjście ewakuacyjne prowadzące bezpośrednio na zewnątrz na otwartą przestrzeń, długości dojścia ewakuacyjnego do opisanego wyjścia wynosi 25m. Zgodnie z informacją uzyskana od zarządcy budynku dzieci nie korzystają z sali gimnastycznej oraz pomieszczenia stołówki.</w:t>
      </w:r>
    </w:p>
    <w:p>
      <w:pPr>
        <w:pStyle w:val="Normal"/>
        <w:numPr>
          <w:ilvl w:val="0"/>
          <w:numId w:val="13"/>
        </w:numPr>
        <w:rPr>
          <w:rFonts w:ascii="Times New Roman" w:hAnsi="Times New Roman"/>
          <w:b/>
        </w:rPr>
      </w:pPr>
      <w:r>
        <w:rPr>
          <w:b/>
        </w:rPr>
        <w:t xml:space="preserve">Wydzielenie poddasza w segmencie obejmującym </w:t>
      </w:r>
      <w:r>
        <w:rPr>
          <w:b/>
        </w:rPr>
        <w:t>zespół szkolno-przedszkolny</w:t>
      </w:r>
      <w:r>
        <w:rPr>
          <w:b/>
        </w:rPr>
        <w:t xml:space="preserve"> poprzez montaż drzwi przeciwpożarowych o klasie odporności ogniowej EIs 30.</w:t>
      </w:r>
    </w:p>
    <w:p>
      <w:pPr>
        <w:pStyle w:val="Normal"/>
        <w:ind w:hanging="0" w:left="357" w:right="0"/>
        <w:rPr>
          <w:rFonts w:ascii="Times New Roman" w:hAnsi="Times New Roman"/>
        </w:rPr>
      </w:pPr>
      <w:r>
        <w:rPr/>
        <w:t xml:space="preserve">Poddasze nieużytkowe zlokalizowane w części obejmującej segment </w:t>
      </w:r>
      <w:r>
        <w:rPr/>
        <w:t>zespołu szkolno-przedszkolnego</w:t>
      </w:r>
      <w:r>
        <w:rPr/>
        <w:t xml:space="preserve"> zostanie wyodrębnione przeciwpożarowo poprzez montaż drzwi o klasie odporności ogniowej EI 30.  </w:t>
      </w:r>
    </w:p>
    <w:p>
      <w:pPr>
        <w:pStyle w:val="Normal"/>
        <w:widowControl w:val="false"/>
        <w:numPr>
          <w:ilvl w:val="0"/>
          <w:numId w:val="13"/>
        </w:numPr>
        <w:rPr>
          <w:rFonts w:ascii="Times New Roman" w:hAnsi="Times New Roman"/>
          <w:b/>
        </w:rPr>
      </w:pPr>
      <w:r>
        <w:rPr>
          <w:b/>
        </w:rPr>
        <w:t>Zastosowaniu na granicy stref pożarowych drzwi o szerokości min. 1,20 m.</w:t>
      </w:r>
    </w:p>
    <w:p>
      <w:pPr>
        <w:pStyle w:val="Normal"/>
        <w:widowControl w:val="false"/>
        <w:numPr>
          <w:ilvl w:val="0"/>
          <w:numId w:val="13"/>
        </w:numPr>
        <w:rPr>
          <w:rFonts w:ascii="Times New Roman" w:hAnsi="Times New Roman"/>
          <w:b/>
        </w:rPr>
      </w:pPr>
      <w:r>
        <w:rPr>
          <w:b/>
        </w:rPr>
        <w:t>Podział korytarzy na poziomie pierwszej i drugiej kondygnacji nadziemnej drzwiami dymoszczelnymi na odcinki nie dłuższe niż 50 m.</w:t>
      </w:r>
    </w:p>
    <w:p>
      <w:pPr>
        <w:pStyle w:val="Normal"/>
        <w:widowControl w:val="false"/>
        <w:ind w:hanging="0" w:left="360" w:right="0"/>
        <w:rPr>
          <w:rFonts w:ascii="Times New Roman" w:hAnsi="Times New Roman"/>
        </w:rPr>
      </w:pPr>
      <w:r>
        <w:rPr/>
        <w:t xml:space="preserve">Zaproponowano podział korytarza drzwiami dymoszczelnymi w segmencie </w:t>
      </w:r>
      <w:r>
        <w:rPr/>
        <w:t>zespołu szkolno-przedszkolnego</w:t>
      </w:r>
      <w:r>
        <w:rPr/>
        <w:t xml:space="preserve"> na poziomie pierwszej kondygnacji nadziemnej na odcinki nie dłuższe niż 50 m.  </w:t>
      </w:r>
    </w:p>
    <w:p>
      <w:pPr>
        <w:pStyle w:val="Normal"/>
        <w:numPr>
          <w:ilvl w:val="0"/>
          <w:numId w:val="13"/>
        </w:numPr>
        <w:rPr>
          <w:rFonts w:ascii="Times New Roman" w:hAnsi="Times New Roman"/>
          <w:b/>
        </w:rPr>
      </w:pPr>
      <w:r>
        <w:rPr>
          <w:b/>
        </w:rPr>
        <w:t xml:space="preserve">Wydzielenie piwnicy w segmencie obejmującym </w:t>
      </w:r>
      <w:r>
        <w:rPr>
          <w:b/>
        </w:rPr>
        <w:t>zespół szkolno-przedszkolny</w:t>
      </w:r>
      <w:r>
        <w:rPr>
          <w:b/>
        </w:rPr>
        <w:t xml:space="preserve"> poprzez montaż drzwi przeciwpożarowych o klasie odporności ogniowej EIs 30.</w:t>
      </w:r>
    </w:p>
    <w:p>
      <w:pPr>
        <w:pStyle w:val="Normal"/>
        <w:ind w:hanging="0" w:left="357" w:right="0"/>
        <w:rPr>
          <w:rFonts w:ascii="Times New Roman" w:hAnsi="Times New Roman"/>
        </w:rPr>
      </w:pPr>
      <w:r>
        <w:rPr/>
        <w:t xml:space="preserve">Piwnica zlokalizowana w części obejmującej segment </w:t>
      </w:r>
      <w:r>
        <w:rPr/>
        <w:t xml:space="preserve">zespołu szkolno-przedszkolnego </w:t>
      </w:r>
      <w:r>
        <w:rPr/>
        <w:t>zostanie wyodrębniona przeciwpożarowo poprzez montaż drzwi o klasie odporności ogniowej EIs 30.</w:t>
      </w:r>
    </w:p>
    <w:p>
      <w:pPr>
        <w:pStyle w:val="Normal"/>
        <w:numPr>
          <w:ilvl w:val="0"/>
          <w:numId w:val="13"/>
        </w:numPr>
        <w:rPr>
          <w:rFonts w:ascii="Times New Roman" w:hAnsi="Times New Roman"/>
        </w:rPr>
      </w:pPr>
      <w:r>
        <w:rPr>
          <w:b/>
        </w:rPr>
        <w:t xml:space="preserve">Wydzielenie pomieszczenia kotłowni w segmencie obejmującym </w:t>
      </w:r>
      <w:r>
        <w:rPr>
          <w:b/>
        </w:rPr>
        <w:t>zespół szkolno-przedszkolny</w:t>
      </w:r>
      <w:r>
        <w:rPr>
          <w:b/>
        </w:rPr>
        <w:t xml:space="preserve"> poprzez montaż drzwi przeciwpożarowych o klasie odporności ogniowej EI</w:t>
      </w:r>
      <w:r>
        <w:rPr>
          <w:b/>
          <w:vertAlign w:val="subscript"/>
        </w:rPr>
        <w:t>s</w:t>
      </w:r>
      <w:r>
        <w:rPr>
          <w:b/>
        </w:rPr>
        <w:t xml:space="preserve"> 60.</w:t>
      </w:r>
    </w:p>
    <w:p>
      <w:pPr>
        <w:pStyle w:val="Normal"/>
        <w:ind w:hanging="0" w:left="357" w:right="0"/>
        <w:rPr>
          <w:rFonts w:ascii="Times New Roman" w:hAnsi="Times New Roman"/>
        </w:rPr>
      </w:pPr>
      <w:r>
        <w:rPr/>
        <w:t>Pomieszczenie techniczne kotłowni należy wyodrębniona przeciwpożarowo poprzez montaż drzwi o klasie odporności ogniowej EI 60. Zastosowanie systemu detekcji gazu typu Gazex lub równorzędnego oraz autonomicznej czujki dymu z powiadamianiem głosowym.</w:t>
      </w:r>
    </w:p>
    <w:p>
      <w:pPr>
        <w:pStyle w:val="Normal"/>
        <w:widowControl w:val="false"/>
        <w:numPr>
          <w:ilvl w:val="0"/>
          <w:numId w:val="13"/>
        </w:numPr>
        <w:suppressAutoHyphens w:val="true"/>
        <w:overflowPunct w:val="false"/>
        <w:bidi w:val="0"/>
        <w:spacing w:lineRule="auto" w:line="276" w:before="0" w:after="200"/>
        <w:ind w:hanging="283" w:left="794" w:right="-510"/>
        <w:jc w:val="left"/>
        <w:rPr>
          <w:rFonts w:ascii="Times New Roman" w:hAnsi="Times New Roman"/>
          <w:b/>
          <w:bCs/>
        </w:rPr>
      </w:pPr>
      <w:r>
        <w:rPr>
          <w:b/>
          <w:bCs/>
        </w:rPr>
        <w:t>Montaż we wszystkich pomieszaniach autonomicznych czujek dymu z możliwościom z przeszyłem alarmu na telefon dyrekcji oraz dozorcy.</w:t>
      </w:r>
    </w:p>
    <w:p>
      <w:pPr>
        <w:pStyle w:val="Normal"/>
        <w:numPr>
          <w:ilvl w:val="0"/>
          <w:numId w:val="13"/>
        </w:numPr>
        <w:rPr>
          <w:rFonts w:ascii="Times New Roman" w:hAnsi="Times New Roman"/>
          <w:b/>
          <w:bCs/>
        </w:rPr>
      </w:pPr>
      <w:r>
        <w:rPr>
          <w:b/>
          <w:bCs/>
        </w:rPr>
        <w:t>Zwiększenie o 100% ilości gaśnic w budynku.</w:t>
      </w:r>
    </w:p>
    <w:p>
      <w:pPr>
        <w:pStyle w:val="Normal"/>
        <w:widowControl w:val="false"/>
        <w:numPr>
          <w:ilvl w:val="0"/>
          <w:numId w:val="13"/>
        </w:numPr>
        <w:suppressAutoHyphens w:val="true"/>
        <w:overflowPunct w:val="false"/>
        <w:bidi w:val="0"/>
        <w:spacing w:lineRule="auto" w:line="276" w:before="0" w:after="200"/>
        <w:ind w:hanging="283" w:left="794" w:right="-510"/>
        <w:jc w:val="left"/>
        <w:rPr>
          <w:rFonts w:ascii="Times New Roman" w:hAnsi="Times New Roman"/>
          <w:b/>
          <w:bCs/>
        </w:rPr>
      </w:pPr>
      <w:r>
        <w:rPr>
          <w:b/>
          <w:bCs/>
        </w:rPr>
        <w:t xml:space="preserve">Co roczne szkolenie pracowników </w:t>
      </w:r>
      <w:r>
        <w:rPr>
          <w:b/>
          <w:bCs/>
        </w:rPr>
        <w:t>zespołu szkolno-przedszkolnego</w:t>
      </w:r>
      <w:r>
        <w:rPr>
          <w:b/>
          <w:bCs/>
        </w:rPr>
        <w:t xml:space="preserve"> w zakresie przepisów przeciwpożarowych oraz praktyczne szkolenie w zakresie obsługi gaśnic oraz hydrantów wewnętrznych. </w:t>
      </w:r>
    </w:p>
    <w:p>
      <w:pPr>
        <w:pStyle w:val="Normal"/>
        <w:ind w:hanging="0" w:left="357" w:right="0"/>
        <w:rPr>
          <w:rFonts w:ascii="Times New Roman" w:hAnsi="Times New Roman"/>
          <w:b/>
          <w:bCs/>
        </w:rPr>
      </w:pPr>
      <w:r>
        <w:rPr>
          <w:b/>
          <w:bCs/>
        </w:rPr>
      </w:r>
    </w:p>
    <w:p>
      <w:pPr>
        <w:pStyle w:val="Normal"/>
        <w:ind w:hanging="0" w:left="357" w:right="0"/>
        <w:rPr>
          <w:rFonts w:ascii="Times New Roman" w:hAnsi="Times New Roman" w:eastAsia="Times New Roman"/>
        </w:rPr>
      </w:pPr>
      <w:r>
        <w:rPr>
          <w:rFonts w:eastAsia="Times New Roman"/>
        </w:rPr>
        <w:t xml:space="preserve">  </w:t>
      </w:r>
    </w:p>
    <w:p>
      <w:pPr>
        <w:pStyle w:val="Normal"/>
        <w:widowControl w:val="false"/>
        <w:spacing w:lineRule="auto" w:line="276"/>
        <w:ind w:hanging="0" w:left="360" w:right="0"/>
        <w:rPr>
          <w:rFonts w:ascii="Times New Roman" w:hAnsi="Times New Roman"/>
          <w:b/>
        </w:rPr>
      </w:pPr>
      <w:r>
        <w:rPr>
          <w:b/>
        </w:rPr>
      </w:r>
    </w:p>
    <w:p>
      <w:pPr>
        <w:pStyle w:val="Heading1"/>
        <w:rPr/>
      </w:pPr>
      <w:bookmarkStart w:id="34" w:name="__RefHeading___Toc411372051"/>
      <w:bookmarkEnd w:id="34"/>
      <w:r>
        <w:rPr>
          <w:color w:val="000000"/>
          <w:sz w:val="26"/>
          <w:szCs w:val="26"/>
        </w:rPr>
        <w:t>Analiza i ocena wpływu rozwiązań zastępczych na poziom bezpieczeństwa pożarowego</w:t>
      </w:r>
    </w:p>
    <w:p>
      <w:pPr>
        <w:pStyle w:val="Normal"/>
        <w:ind w:hanging="0" w:left="0"/>
        <w:rPr>
          <w:rFonts w:ascii="Times New Roman" w:hAnsi="Times New Roman"/>
        </w:rPr>
      </w:pPr>
      <w:r>
        <w:rPr/>
        <w:t>Nadrzędnym celem zapewnienia bezpieczeństwa w budynku jest niedopuszczenie do wystąpienia parametrów kwalifikujących istniejący użytkowany budynek za zagrażający życiu ludzi. Użytkowany budynek istniejący uznaje się za zagrażający życiu ludzi, gdy występujące w nim techniczne warunki ewakuacji nie zapewniają możliwości ewakuacji ludzi. W przedmiotowym przypadku nie występuje przesłanki by uznać budynek za zagrażający życiu. Budynek posiada prostą budowę, co jest szczególnie istotne w przypadku szybkiej ewakuacji, gdyż ludzie w chwili zagrożenia mogą dostrzec szybko i bezpośrednio zagrożenie swojej osoby powodując natychmiastowe skierowania się do wyjść ewakuacyjnych.</w:t>
      </w:r>
      <w:r>
        <w:rPr>
          <w:color w:val="FF0000"/>
        </w:rPr>
        <w:t xml:space="preserve"> </w:t>
      </w:r>
    </w:p>
    <w:p>
      <w:pPr>
        <w:pStyle w:val="Normal"/>
        <w:ind w:hanging="0" w:left="0"/>
        <w:rPr>
          <w:rFonts w:ascii="Times New Roman" w:hAnsi="Times New Roman"/>
        </w:rPr>
      </w:pPr>
      <w:r>
        <w:rPr/>
        <w:t xml:space="preserve">Zaproponowane rozwiązania mają na celu polepszenie warunków ewakuacji oraz zapewnienie ewakuacji w przestrzeni wolnej od dymu. Widząc potrzebę zachowania charakteru budynku autor ekspertyzy wyodrębnił w budynku strefy pożarowe. </w:t>
      </w:r>
    </w:p>
    <w:p>
      <w:pPr>
        <w:pStyle w:val="Normal"/>
        <w:ind w:hanging="0" w:left="0"/>
        <w:rPr>
          <w:rFonts w:ascii="Times New Roman" w:hAnsi="Times New Roman"/>
        </w:rPr>
      </w:pPr>
      <w:r>
        <w:rPr/>
        <w:t xml:space="preserve">Należy nadmienić, że budynek wykorzystywany jest na potrzeby dydaktyczne. Osoby korzystające z budynku są zapoznane z warunkami ewakuacji przebywają w nim cyklicznie co również w znacznym sposób ułatwia ich ewakuację, z uwagi na znajomość układów komunikacyjnych budynku. </w:t>
      </w:r>
    </w:p>
    <w:p>
      <w:pPr>
        <w:pStyle w:val="Normal"/>
        <w:ind w:hanging="0" w:left="0"/>
        <w:rPr>
          <w:rFonts w:ascii="Times New Roman" w:hAnsi="Times New Roman"/>
        </w:rPr>
      </w:pPr>
      <w:r>
        <w:rPr/>
        <w:t xml:space="preserve">Wczesna detekcja oraz zaalarmowanie ludzi o pożarze umożliwia stała obecność obsługi </w:t>
      </w:r>
      <w:r>
        <w:rPr/>
        <w:t>zespołu szkolno-przedszkolnego</w:t>
      </w:r>
      <w:r>
        <w:rPr/>
        <w:t xml:space="preserve"> na każdej kondygnacji w czasie prowadzenia zajęć dydaktycznych, co zapewnia ograniczenie możliwości swobodnego rozwoju pożaru oraz szybką informację do jednostek ochrony przeciwpożarowej. Należy nadmienić również, że najbliższa jednostka ochrony przeciwpożarowej znajduje się w niedalekiej odległości od przedmiotowego budynku, dzięki czemu dotarcie jednostek na miejsce ewentualnego pożaru będzie stosunkowo krótkie.     </w:t>
      </w:r>
    </w:p>
    <w:p>
      <w:pPr>
        <w:pStyle w:val="Normal"/>
        <w:ind w:hanging="0" w:left="0"/>
        <w:rPr>
          <w:rFonts w:ascii="Times New Roman" w:hAnsi="Times New Roman"/>
        </w:rPr>
      </w:pPr>
      <w:r>
        <w:rPr/>
        <w:t>Zaproponowane rozwiązania eliminują niezgodności, które występują w stanie obecnym. W szczególności pozwalają ograniczyć możliwość rozprzestrzeniania się pożaru na cały budynek z uwagi na podzielenie budynku za pomocą przegród budowlanych i przeciwpożarowych na strefy pożarowe o powierzchni mniejszej od dopuszczalnej co znacznie poprawia warunki bezpieczeństwa pożarowego w obiekcie.</w:t>
      </w:r>
    </w:p>
    <w:p>
      <w:pPr>
        <w:pStyle w:val="Normal"/>
        <w:ind w:hanging="0" w:left="0"/>
        <w:rPr>
          <w:rFonts w:ascii="Times New Roman" w:hAnsi="Times New Roman"/>
        </w:rPr>
      </w:pPr>
      <w:r>
        <w:rPr/>
        <w:t xml:space="preserve">Zdaniem autora ekspertyzy zastosowane rozwiązania zastępcze są adekwatne do występujących w budynku nieprawidłowości i w znacznym stopniu poprawią warunki bezpieczeństwa pożarowego. </w:t>
      </w:r>
    </w:p>
    <w:p>
      <w:pPr>
        <w:pStyle w:val="Heading2"/>
        <w:ind w:hanging="567" w:left="567" w:right="0"/>
        <w:rPr>
          <w:rFonts w:ascii="Times New Roman" w:hAnsi="Times New Roman"/>
        </w:rPr>
      </w:pPr>
      <w:bookmarkStart w:id="35" w:name="__RefHeading___Toc411372052"/>
      <w:bookmarkEnd w:id="35"/>
      <w:r>
        <w:rPr>
          <w:color w:val="000000"/>
        </w:rPr>
        <w:t xml:space="preserve">Czas ewakuacji – analiza bezpiecznych warunków ewakuacji wg Published Document PD 7974-6:2004 – oszacowanie WCBE i DCBE. </w:t>
      </w:r>
    </w:p>
    <w:p>
      <w:pPr>
        <w:pStyle w:val="Normal"/>
        <w:widowControl w:val="false"/>
        <w:numPr>
          <w:ilvl w:val="0"/>
          <w:numId w:val="0"/>
        </w:numPr>
        <w:suppressAutoHyphens w:val="true"/>
        <w:overflowPunct w:val="false"/>
        <w:bidi w:val="0"/>
        <w:spacing w:lineRule="auto" w:line="276" w:before="0" w:after="200"/>
        <w:ind w:hanging="0" w:left="0" w:right="-57"/>
        <w:jc w:val="left"/>
        <w:rPr>
          <w:rFonts w:ascii="Times New Roman" w:hAnsi="Times New Roman"/>
        </w:rPr>
      </w:pPr>
      <w:r>
        <w:rPr/>
        <w:t xml:space="preserve">Celem systemu do usuwania dymu w przedmiotowym budynku jest wyłącznie zapewnienie bezpieczeństwa ludzi na pionowych i poziomych drogach ewakuacyjnych poprzez ograniczenie rozprzestrzeniania się dymu na poszczególne kondygnacje oraz aby nie nastąpiło zadymienie na klatkach schodowych w czasie niezbędny do przeprowadzenia bezpiecznej ewakuacji wszystkich użytkowników budynku. W związku z tym ważne jest określenie dopuszczalnego czasu ewakuacji jaki i czasu niezbędnego w praktyce do jej przeprowadzenia.     </w:t>
      </w:r>
    </w:p>
    <w:p>
      <w:pPr>
        <w:pStyle w:val="Normal"/>
        <w:ind w:hanging="0" w:left="0"/>
        <w:rPr>
          <w:rFonts w:ascii="Times New Roman" w:hAnsi="Times New Roman"/>
        </w:rPr>
      </w:pPr>
      <w:r>
        <w:rPr/>
        <w:t xml:space="preserve">W celu oceny zaproponowanego stanu warunków ochrony przeciwpożarowej obiektu dokonano analizy przewidywanego czasu ewakuacji w oparciu o brytyjski Published Document PD 7974-6:2004 </w:t>
      </w:r>
      <w:r>
        <w:rPr>
          <w:i/>
          <w:iCs/>
        </w:rPr>
        <w:t xml:space="preserve">The application of fire safety engineering principles to fire safetydesign of buildings. </w:t>
      </w:r>
      <w:r>
        <w:rPr>
          <w:i/>
          <w:iCs/>
          <w:lang w:val="en-US"/>
        </w:rPr>
        <w:t xml:space="preserve">Part 6: Human factors: Life safetystrategies - Occupant evacuation,behaviour and condition (Sub-system 6).  </w:t>
      </w:r>
      <w:r>
        <w:rPr>
          <w:iCs/>
        </w:rPr>
        <w:t>Używając tej metody możliwe jest uzasadnienie odstąpienia od ograniczeń narzucanych przez przepisy techniczno-budowlane.</w:t>
      </w:r>
    </w:p>
    <w:p>
      <w:pPr>
        <w:pStyle w:val="Normal"/>
        <w:ind w:hanging="0" w:left="0"/>
        <w:rPr>
          <w:rFonts w:ascii="Times New Roman" w:hAnsi="Times New Roman"/>
        </w:rPr>
      </w:pPr>
      <w:r>
        <w:rPr/>
        <w:t>Przy określaniu czasów ewakuacji wzięto pod uwagę następujące warunki:</w:t>
      </w:r>
    </w:p>
    <w:p>
      <w:pPr>
        <w:pStyle w:val="Akapitzlist"/>
        <w:numPr>
          <w:ilvl w:val="0"/>
          <w:numId w:val="14"/>
        </w:numPr>
        <w:ind w:hanging="360" w:left="360" w:right="0"/>
        <w:rPr>
          <w:rFonts w:ascii="Times New Roman" w:hAnsi="Times New Roman"/>
        </w:rPr>
      </w:pPr>
      <w:r>
        <w:rPr>
          <w:rFonts w:ascii="Times New Roman" w:hAnsi="Times New Roman"/>
        </w:rPr>
        <w:t>zapewnienie wyposażenia budynku w hydranty wewnętrzne i gaśnice,</w:t>
      </w:r>
    </w:p>
    <w:p>
      <w:pPr>
        <w:pStyle w:val="Akapitzlist"/>
        <w:numPr>
          <w:ilvl w:val="0"/>
          <w:numId w:val="14"/>
        </w:numPr>
        <w:ind w:hanging="360" w:left="360" w:right="0"/>
        <w:rPr>
          <w:rFonts w:ascii="Times New Roman" w:hAnsi="Times New Roman"/>
        </w:rPr>
      </w:pPr>
      <w:r>
        <w:rPr>
          <w:rFonts w:ascii="Times New Roman" w:hAnsi="Times New Roman"/>
        </w:rPr>
        <w:t xml:space="preserve">odpowiednie przeszkolenie pracowników </w:t>
      </w:r>
      <w:r>
        <w:rPr>
          <w:rFonts w:ascii="Times New Roman" w:hAnsi="Times New Roman"/>
        </w:rPr>
        <w:t>zespołu szkolno-przedszkolnego</w:t>
      </w:r>
      <w:r>
        <w:rPr>
          <w:rFonts w:ascii="Times New Roman" w:hAnsi="Times New Roman"/>
        </w:rPr>
        <w:t xml:space="preserve"> oraz obsługi budynku</w:t>
      </w:r>
    </w:p>
    <w:p>
      <w:pPr>
        <w:pStyle w:val="Normal"/>
        <w:ind w:hanging="0" w:left="0"/>
        <w:rPr>
          <w:rFonts w:ascii="Times New Roman" w:hAnsi="Times New Roman"/>
        </w:rPr>
      </w:pPr>
      <w:r>
        <w:rPr/>
        <w:t>Wymagany czas bezpiecznej ewakuacji WCBE jest czasem, który trwa od początku powstania pożaru do momentu, w którym założona ilość osób zdoła się ewakuować na zewnątrz budynku lub w zależności od przyjętej strategii ewakuacji do innej części obiektu uznanej za bezpieczną. Koncepcja WCBE wraz z czasami cząstkowymi jest przedstawiona na schemacie poniżej.</w:t>
      </w:r>
    </w:p>
    <w:p>
      <w:pPr>
        <w:pStyle w:val="Normal"/>
        <w:ind w:hanging="0" w:left="0" w:right="0"/>
        <w:jc w:val="center"/>
        <w:rPr>
          <w:rFonts w:ascii="Times New Roman" w:hAnsi="Times New Roman"/>
          <w:color w:val="FF0000"/>
          <w:lang w:val="pl-PL" w:eastAsia="pl-PL"/>
        </w:rPr>
      </w:pPr>
      <w:r>
        <w:rPr/>
        <w:drawing>
          <wp:inline distT="0" distB="0" distL="0" distR="0">
            <wp:extent cx="5082540" cy="3070860"/>
            <wp:effectExtent l="0" t="0" r="0" b="0"/>
            <wp:docPr id="3" name="fancybox-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ancybox-img"/>
                    <pic:cNvPicPr>
                      <a:picLocks noChangeAspect="1" noChangeArrowheads="1"/>
                    </pic:cNvPicPr>
                  </pic:nvPicPr>
                  <pic:blipFill>
                    <a:blip r:embed="rId3"/>
                    <a:srcRect l="-7" t="-12" r="-7" b="-12"/>
                    <a:stretch>
                      <a:fillRect/>
                    </a:stretch>
                  </pic:blipFill>
                  <pic:spPr bwMode="auto">
                    <a:xfrm>
                      <a:off x="0" y="0"/>
                      <a:ext cx="5082540" cy="3070860"/>
                    </a:xfrm>
                    <a:prstGeom prst="rect">
                      <a:avLst/>
                    </a:prstGeom>
                    <a:noFill/>
                  </pic:spPr>
                </pic:pic>
              </a:graphicData>
            </a:graphic>
          </wp:inline>
        </w:drawing>
      </w:r>
    </w:p>
    <w:p>
      <w:pPr>
        <w:pStyle w:val="Normal"/>
        <w:tabs>
          <w:tab w:val="clear" w:pos="708"/>
          <w:tab w:val="left" w:pos="142" w:leader="none"/>
        </w:tabs>
        <w:spacing w:before="0" w:after="57"/>
        <w:ind w:hanging="0" w:left="0" w:right="0"/>
        <w:rPr/>
      </w:pPr>
      <w:r>
        <w:rPr>
          <w:b/>
        </w:rPr>
        <w:t>Czas alarmowania</w:t>
      </w:r>
      <w:r>
        <w:rPr/>
        <w:t xml:space="preserve"> - przedział czasu pomiędzy wykryciem pożaru i czasem, w którym ogólne ostrzeżenie przekazane jest do wszystkich użytkowników w wydzielonej przestrzeni w budynku.</w:t>
      </w:r>
    </w:p>
    <w:p>
      <w:pPr>
        <w:pStyle w:val="Normal"/>
        <w:spacing w:before="0" w:after="57"/>
        <w:ind w:hanging="0" w:left="0" w:right="0"/>
        <w:rPr/>
      </w:pPr>
      <w:r>
        <w:rPr>
          <w:b/>
        </w:rPr>
        <w:t>Czas ewakuacji</w:t>
      </w:r>
      <w:r>
        <w:rPr/>
        <w:t xml:space="preserve"> – przedział czasu pomiędzy czasem, w którym ostrzeżenie o pożarze przekazane jest do użytkowników a czasem, w którym wszyscy użytkownicy są w stanie osiągnąć bezpieczne miejsce. </w:t>
      </w:r>
    </w:p>
    <w:p>
      <w:pPr>
        <w:pStyle w:val="Normal"/>
        <w:spacing w:before="0" w:after="57"/>
        <w:ind w:hanging="0" w:left="0" w:right="0"/>
        <w:rPr/>
      </w:pPr>
      <w:r>
        <w:rPr>
          <w:b/>
        </w:rPr>
        <w:t>Czas wstępnych reakcji</w:t>
      </w:r>
      <w:r>
        <w:rPr/>
        <w:t xml:space="preserve"> – przedział pomiędzy czasem, w którym ogłoszone zostało ostrzeżenie o pożarze a czasem, w którym zostały wykonane ruchy w kierunku wyjścia. Czas ten składa się z dwóch składników:</w:t>
      </w:r>
    </w:p>
    <w:p>
      <w:pPr>
        <w:pStyle w:val="Normal"/>
        <w:ind w:hanging="0" w:left="0" w:right="0"/>
        <w:rPr>
          <w:rFonts w:ascii="Times New Roman" w:hAnsi="Times New Roman"/>
        </w:rPr>
      </w:pPr>
      <w:r>
        <w:rPr>
          <w:b/>
        </w:rPr>
        <w:t>- rozpoznania</w:t>
      </w:r>
      <w:r>
        <w:rPr/>
        <w:t xml:space="preserve"> przedział pomiędzy czasem, w którym ostrzeżenie o pożarze zostało ogłoszone a pierwszą reakcją na ostrzeżenie,</w:t>
      </w:r>
    </w:p>
    <w:p>
      <w:pPr>
        <w:pStyle w:val="Normal"/>
        <w:ind w:hanging="0" w:left="0" w:right="0"/>
        <w:rPr>
          <w:rFonts w:ascii="Times New Roman" w:hAnsi="Times New Roman"/>
        </w:rPr>
      </w:pPr>
      <w:r>
        <w:rPr/>
        <w:t xml:space="preserve">- </w:t>
      </w:r>
      <w:r>
        <w:rPr>
          <w:b/>
        </w:rPr>
        <w:t>reakcja</w:t>
      </w:r>
      <w:r>
        <w:rPr/>
        <w:t xml:space="preserve"> przedział pomiędzy czasem, w którym wystąpi pierwsza reakcja a czasem, w którym został wykonany pierwszy ruch w kierunku wyjścia. </w:t>
      </w:r>
    </w:p>
    <w:p>
      <w:pPr>
        <w:pStyle w:val="Normal"/>
        <w:ind w:hanging="0" w:left="0" w:right="0"/>
        <w:rPr>
          <w:rFonts w:ascii="Times New Roman" w:hAnsi="Times New Roman"/>
        </w:rPr>
      </w:pPr>
      <w:r>
        <w:rPr>
          <w:b/>
        </w:rPr>
        <w:t>Czas przemieszczania</w:t>
      </w:r>
      <w:r>
        <w:rPr/>
        <w:t xml:space="preserve"> – czas liczony dla przejścia ludzi z pozycji startowej do najbliższego wyjścia, zakładając, że prędkość poruszania jest nieograniczona. </w:t>
      </w:r>
    </w:p>
    <w:p>
      <w:pPr>
        <w:pStyle w:val="Normal"/>
        <w:ind w:hanging="0" w:left="0"/>
        <w:rPr>
          <w:rFonts w:ascii="Times New Roman" w:hAnsi="Times New Roman"/>
        </w:rPr>
      </w:pPr>
      <w:r>
        <w:rPr/>
        <w:t>WCBE określa się za pomocą wzoru:</w:t>
      </w:r>
    </w:p>
    <w:p>
      <w:pPr>
        <w:pStyle w:val="Normal"/>
        <w:ind w:hanging="0" w:left="0"/>
        <w:jc w:val="center"/>
        <w:rPr>
          <w:rFonts w:ascii="Times New Roman" w:hAnsi="Times New Roman"/>
        </w:rPr>
      </w:pPr>
      <w:r>
        <w:rPr/>
        <w:t>WCBE = t</w:t>
      </w:r>
      <w:r>
        <w:rPr>
          <w:vertAlign w:val="subscript"/>
        </w:rPr>
        <w:t>d</w:t>
      </w:r>
      <w:r>
        <w:rPr/>
        <w:t xml:space="preserve"> + t</w:t>
      </w:r>
      <w:r>
        <w:rPr>
          <w:vertAlign w:val="subscript"/>
        </w:rPr>
        <w:t>a</w:t>
      </w:r>
      <w:r>
        <w:rPr/>
        <w:t xml:space="preserve"> + t</w:t>
      </w:r>
      <w:r>
        <w:rPr>
          <w:vertAlign w:val="subscript"/>
        </w:rPr>
        <w:t>rozp</w:t>
      </w:r>
      <w:r>
        <w:rPr/>
        <w:t xml:space="preserve"> + t</w:t>
      </w:r>
      <w:r>
        <w:rPr>
          <w:vertAlign w:val="subscript"/>
        </w:rPr>
        <w:t>reak</w:t>
      </w:r>
      <w:r>
        <w:rPr/>
        <w:t xml:space="preserve"> + t</w:t>
      </w:r>
      <w:r>
        <w:rPr>
          <w:vertAlign w:val="subscript"/>
        </w:rPr>
        <w:t>p</w:t>
      </w:r>
    </w:p>
    <w:p>
      <w:pPr>
        <w:pStyle w:val="Normal"/>
        <w:ind w:hanging="0" w:left="0"/>
        <w:rPr>
          <w:rFonts w:ascii="Times New Roman" w:hAnsi="Times New Roman"/>
        </w:rPr>
      </w:pPr>
      <w:r>
        <w:rPr/>
        <w:t xml:space="preserve">gdzie: </w:t>
      </w:r>
    </w:p>
    <w:p>
      <w:pPr>
        <w:pStyle w:val="Normal"/>
        <w:ind w:hanging="0" w:left="0"/>
        <w:rPr>
          <w:rFonts w:ascii="Times New Roman" w:hAnsi="Times New Roman"/>
        </w:rPr>
      </w:pPr>
      <w:r>
        <w:rPr/>
        <w:t>t</w:t>
      </w:r>
      <w:r>
        <w:rPr>
          <w:vertAlign w:val="subscript"/>
        </w:rPr>
        <w:t>d</w:t>
      </w:r>
      <w:r>
        <w:rPr/>
        <w:t xml:space="preserve"> – czas detekcji pożaru</w:t>
      </w:r>
    </w:p>
    <w:p>
      <w:pPr>
        <w:pStyle w:val="Normal"/>
        <w:ind w:hanging="0" w:left="0"/>
        <w:rPr>
          <w:rFonts w:ascii="Times New Roman" w:hAnsi="Times New Roman"/>
        </w:rPr>
      </w:pPr>
      <w:r>
        <w:rPr/>
        <w:t>t</w:t>
      </w:r>
      <w:r>
        <w:rPr>
          <w:vertAlign w:val="subscript"/>
        </w:rPr>
        <w:t>a</w:t>
      </w:r>
      <w:r>
        <w:rPr/>
        <w:t xml:space="preserve"> – czas alarmowania </w:t>
      </w:r>
    </w:p>
    <w:p>
      <w:pPr>
        <w:pStyle w:val="Normal"/>
        <w:ind w:hanging="0" w:left="0"/>
        <w:rPr>
          <w:rFonts w:ascii="Times New Roman" w:hAnsi="Times New Roman"/>
        </w:rPr>
      </w:pPr>
      <w:r>
        <w:rPr/>
        <w:t>t</w:t>
      </w:r>
      <w:r>
        <w:rPr>
          <w:vertAlign w:val="subscript"/>
        </w:rPr>
        <w:t xml:space="preserve">rozp </w:t>
      </w:r>
      <w:r>
        <w:rPr/>
        <w:t xml:space="preserve">- czas rozpoznania </w:t>
      </w:r>
    </w:p>
    <w:p>
      <w:pPr>
        <w:pStyle w:val="Normal"/>
        <w:ind w:hanging="0" w:left="0"/>
        <w:rPr>
          <w:rFonts w:ascii="Times New Roman" w:hAnsi="Times New Roman"/>
        </w:rPr>
      </w:pPr>
      <w:r>
        <w:rPr/>
        <w:t>t</w:t>
      </w:r>
      <w:r>
        <w:rPr>
          <w:vertAlign w:val="subscript"/>
        </w:rPr>
        <w:t>reak</w:t>
      </w:r>
      <w:r>
        <w:rPr/>
        <w:t xml:space="preserve"> – czas reakcji na zdarzenie </w:t>
      </w:r>
    </w:p>
    <w:p>
      <w:pPr>
        <w:pStyle w:val="Normal"/>
        <w:ind w:hanging="0" w:left="0"/>
        <w:rPr>
          <w:rFonts w:ascii="Times New Roman" w:hAnsi="Times New Roman"/>
        </w:rPr>
      </w:pPr>
      <w:r>
        <w:rPr/>
        <w:t>t</w:t>
      </w:r>
      <w:r>
        <w:rPr>
          <w:vertAlign w:val="subscript"/>
        </w:rPr>
        <w:t>p</w:t>
      </w:r>
      <w:r>
        <w:rPr/>
        <w:t xml:space="preserve"> – czas przemieszczenia się ewakuowanych osób</w:t>
      </w:r>
    </w:p>
    <w:p>
      <w:pPr>
        <w:pStyle w:val="Normal"/>
        <w:spacing w:lineRule="auto" w:line="276" w:before="0" w:after="200"/>
        <w:ind w:hanging="0" w:left="0" w:right="0"/>
        <w:jc w:val="left"/>
        <w:rPr>
          <w:rFonts w:ascii="Times New Roman" w:hAnsi="Times New Roman"/>
          <w:b/>
        </w:rPr>
      </w:pPr>
      <w:r>
        <w:rPr>
          <w:b/>
        </w:rPr>
        <w:t xml:space="preserve">Przyjęto: </w:t>
      </w:r>
    </w:p>
    <w:p>
      <w:pPr>
        <w:pStyle w:val="Normal"/>
        <w:ind w:hanging="0" w:left="0" w:right="0"/>
        <w:rPr>
          <w:rFonts w:ascii="Times New Roman" w:hAnsi="Times New Roman"/>
        </w:rPr>
      </w:pPr>
      <w:r>
        <w:rPr>
          <w:b/>
        </w:rPr>
        <w:t>Czas detekcji</w:t>
      </w:r>
      <w:r>
        <w:rPr/>
        <w:t xml:space="preserve"> – 60 sekund, w związku z obecnością personelu na każdej kondygnacji</w:t>
      </w:r>
    </w:p>
    <w:p>
      <w:pPr>
        <w:pStyle w:val="Normal"/>
        <w:ind w:hanging="0" w:left="0" w:right="0"/>
        <w:rPr>
          <w:rFonts w:ascii="Times New Roman" w:hAnsi="Times New Roman"/>
        </w:rPr>
      </w:pPr>
      <w:r>
        <w:rPr>
          <w:b/>
        </w:rPr>
        <w:t>Czas alarmowania</w:t>
      </w:r>
      <w:r>
        <w:rPr/>
        <w:t xml:space="preserve"> – 30 sekund.</w:t>
      </w:r>
    </w:p>
    <w:p>
      <w:pPr>
        <w:pStyle w:val="Normal"/>
        <w:ind w:hanging="0" w:left="0" w:right="0"/>
        <w:rPr>
          <w:rFonts w:ascii="Times New Roman" w:hAnsi="Times New Roman"/>
        </w:rPr>
      </w:pPr>
      <w:r>
        <w:rPr>
          <w:b/>
        </w:rPr>
        <w:t xml:space="preserve">Czas wstępnych reakcji - </w:t>
      </w:r>
      <w:r>
        <w:rPr/>
        <w:t>uwzględniając opisane powyższe czynniki przyjęto następujące kategorie:</w:t>
      </w:r>
    </w:p>
    <w:p>
      <w:pPr>
        <w:pStyle w:val="Akapitzlist"/>
        <w:numPr>
          <w:ilvl w:val="0"/>
          <w:numId w:val="15"/>
        </w:numPr>
        <w:ind w:hanging="360" w:left="360" w:right="0"/>
        <w:rPr>
          <w:rFonts w:ascii="Times New Roman" w:hAnsi="Times New Roman"/>
        </w:rPr>
      </w:pPr>
      <w:r>
        <w:rPr>
          <w:rFonts w:ascii="Times New Roman" w:hAnsi="Times New Roman"/>
        </w:rPr>
        <w:t xml:space="preserve">jakość systemu alarmowego – A3 (rozgłaszania alarmu o pożarze do wszystkich użytkowników w zagrożonych przestrzeniach budynku następuje ręcznie, brak automatycznego systemu wykrywania pożaru) </w:t>
      </w:r>
    </w:p>
    <w:p>
      <w:pPr>
        <w:pStyle w:val="Akapitzlist"/>
        <w:numPr>
          <w:ilvl w:val="0"/>
          <w:numId w:val="15"/>
        </w:numPr>
        <w:ind w:hanging="360" w:left="360" w:right="0"/>
        <w:rPr>
          <w:rFonts w:ascii="Times New Roman" w:hAnsi="Times New Roman"/>
        </w:rPr>
      </w:pPr>
      <w:r>
        <w:rPr>
          <w:rFonts w:ascii="Times New Roman" w:hAnsi="Times New Roman"/>
        </w:rPr>
        <w:t>wpływ skomplikowania budynku na czas ewakuacji – typ B1 (prosty wielokondygnacyjny budynek z dobrą widzialnością, o prostym i przejrzystym układzie dróg komunikacyjnych powtarzalnym na poszczególnych kondygnacjach, brak utrudnień w znalezieniu odpowiedniej drogi i wyjścia ewakuacyjnego z krótkimi odcinkami przejść i dojść ewakuacyjnych, z odpowiednią ilością wyjść prowadzących bezpośrednio na zewnątrz budynku),</w:t>
      </w:r>
    </w:p>
    <w:p>
      <w:pPr>
        <w:pStyle w:val="Akapitzlist"/>
        <w:numPr>
          <w:ilvl w:val="0"/>
          <w:numId w:val="15"/>
        </w:numPr>
        <w:ind w:hanging="360" w:left="360" w:right="0"/>
        <w:rPr>
          <w:rFonts w:ascii="Times New Roman" w:hAnsi="Times New Roman"/>
        </w:rPr>
      </w:pPr>
      <w:r>
        <w:rPr>
          <w:rFonts w:ascii="Times New Roman" w:hAnsi="Times New Roman"/>
        </w:rPr>
        <w:t>wpływ przygotowania stałego personelu na czas ewakuacji – typ M1 (wysoki poziom przeszkolenia personelu obiektu na wypadek pożaru, realizowanie ewakuacji zgodnie z wytycznymi zawartymi w instrukcji bezpieczeństwa pożarowego, wysoki wskaźnik przeszkolonego personelu w relacji do liczby osób postronnych).</w:t>
      </w:r>
    </w:p>
    <w:p>
      <w:pPr>
        <w:pStyle w:val="Normal"/>
        <w:ind w:hanging="0" w:left="0"/>
        <w:rPr>
          <w:rFonts w:ascii="Times New Roman" w:hAnsi="Times New Roman"/>
        </w:rPr>
      </w:pPr>
      <w:r>
        <w:rPr/>
        <w:t>Dla powyższych kategorii (A3, B1 i M1) w budynku, którego użytkownicy czuwają i są zaznajomieni z układem komunikacyjnym obiektu, czas do rozpoczęcia ewakuacji (</w:t>
      </w:r>
      <w:r>
        <w:rPr>
          <w:i/>
          <w:iCs/>
        </w:rPr>
        <w:t>premovement time</w:t>
      </w:r>
      <w:r>
        <w:rPr/>
        <w:t>) to jest przedział czasu od momentu, w którym zostało przekazane ostrzeżenie o zagrożeniu do momentu, w którym pierwsza osoba przebywająca w obiekcie rozpoczęła ewakuację wynosi 2 min.,</w:t>
      </w:r>
      <w:r>
        <w:rPr>
          <w:color w:val="FF0000"/>
        </w:rPr>
        <w:t xml:space="preserve"> </w:t>
      </w:r>
      <w:r>
        <w:rPr/>
        <w:t xml:space="preserve">a do momentu, w którym 99% osób przebywających w obiekcie rozpoczęło ewakuację – 3 min. Zgodnie z przepisami techniczno-budowlanymi zakłada się, że w przypadku pożaru ewakuujący się ludzie będą przemieszczać się wyznaczonymi dojściami ewakuacyjnymi do najbliższych wyjść ewakuacyjnych. </w:t>
      </w:r>
    </w:p>
    <w:p>
      <w:pPr>
        <w:pStyle w:val="Normal"/>
        <w:ind w:hanging="0" w:left="0" w:right="0"/>
        <w:rPr>
          <w:rFonts w:ascii="Times New Roman" w:hAnsi="Times New Roman"/>
        </w:rPr>
      </w:pPr>
      <w:r>
        <w:rPr>
          <w:b/>
        </w:rPr>
        <w:t xml:space="preserve">Czas przemieszczania się - </w:t>
      </w:r>
      <w:r>
        <w:rPr/>
        <w:t>ma</w:t>
      </w:r>
      <w:r>
        <w:rPr>
          <w:szCs w:val="24"/>
        </w:rPr>
        <w:t xml:space="preserve">ksymalna długość dojścia ewakuacyjnego na zewnątrz  wynosi ok. 53 m. Do analizy warunków ewakuacji przyjęto najbardziej niekorzystny scenariusz rozwoju zdarzeń w czasie pożaru tj. pożar i konieczność ewakuacji z drugiego piętra. </w:t>
      </w:r>
    </w:p>
    <w:p>
      <w:pPr>
        <w:pStyle w:val="Normal"/>
        <w:ind w:hanging="0" w:left="0" w:right="0"/>
        <w:rPr>
          <w:rFonts w:ascii="Times New Roman" w:hAnsi="Times New Roman"/>
          <w:szCs w:val="24"/>
        </w:rPr>
      </w:pPr>
      <w:r>
        <w:rPr>
          <w:szCs w:val="24"/>
        </w:rPr>
        <w:tab/>
        <w:t>Prędkość poruszania się ludzi po drogach ewakuacyjnych przyjęto następująco:</w:t>
      </w:r>
    </w:p>
    <w:p>
      <w:pPr>
        <w:pStyle w:val="Akapitzlist"/>
        <w:numPr>
          <w:ilvl w:val="0"/>
          <w:numId w:val="16"/>
        </w:numPr>
        <w:ind w:hanging="360" w:left="360" w:right="0"/>
        <w:rPr>
          <w:rFonts w:ascii="Times New Roman" w:hAnsi="Times New Roman"/>
        </w:rPr>
      </w:pPr>
      <w:r>
        <w:rPr>
          <w:rFonts w:ascii="Times New Roman" w:hAnsi="Times New Roman"/>
          <w:szCs w:val="24"/>
        </w:rPr>
        <w:t>po poziomej drodze ewakuacyjnej – 1,2 m/s (przy zagęszczeniu nie mniejszym niż 0,54 osoby/m</w:t>
      </w:r>
      <w:r>
        <w:rPr>
          <w:rFonts w:ascii="Times New Roman" w:hAnsi="Times New Roman"/>
          <w:szCs w:val="24"/>
          <w:vertAlign w:val="superscript"/>
        </w:rPr>
        <w:t>2</w:t>
      </w:r>
      <w:r>
        <w:rPr>
          <w:rFonts w:ascii="Times New Roman" w:hAnsi="Times New Roman"/>
          <w:szCs w:val="24"/>
        </w:rPr>
        <w:t>).</w:t>
      </w:r>
    </w:p>
    <w:p>
      <w:pPr>
        <w:pStyle w:val="Akapitzlist"/>
        <w:numPr>
          <w:ilvl w:val="0"/>
          <w:numId w:val="16"/>
        </w:numPr>
        <w:ind w:hanging="360" w:left="360" w:right="0"/>
        <w:rPr>
          <w:rFonts w:ascii="Times New Roman" w:hAnsi="Times New Roman"/>
          <w:szCs w:val="24"/>
        </w:rPr>
      </w:pPr>
      <w:r>
        <w:rPr>
          <w:rFonts w:ascii="Times New Roman" w:hAnsi="Times New Roman"/>
          <w:szCs w:val="24"/>
        </w:rPr>
        <w:t xml:space="preserve">szybkość przechodzenia ludzi przez drzwi ewakuacyjne – 1,3 osoby/s/metr czynnej szerokości otworu drzwiowego (ewakuacja przebiega do drzwi dwuskrzydłowych o łącznej szerokości 1,5m ) </w:t>
      </w:r>
    </w:p>
    <w:p>
      <w:pPr>
        <w:pStyle w:val="Normal"/>
        <w:ind w:hanging="0" w:left="0"/>
        <w:jc w:val="center"/>
        <w:rPr>
          <w:rFonts w:ascii="Times New Roman" w:hAnsi="Times New Roman"/>
        </w:rPr>
      </w:pPr>
      <w:r>
        <w:rPr/>
      </w:r>
      <m:oMathPara xmlns:m="http://schemas.openxmlformats.org/officeDocument/2006/math">
        <m:oMathParaPr>
          <m:jc m:val="center"/>
        </m:oMathParaPr>
        <m:oMath>
          <m:sSub>
            <m:e>
              <m:r>
                <w:rPr>
                  <w:rFonts w:ascii="Cambria Math" w:hAnsi="Cambria Math"/>
                </w:rPr>
                <m:t xml:space="preserve">t</m:t>
              </m:r>
            </m:e>
            <m:sub>
              <m:r>
                <w:rPr>
                  <w:rFonts w:ascii="Cambria Math" w:hAnsi="Cambria Math"/>
                </w:rPr>
                <m:t xml:space="preserve">p</m:t>
              </m:r>
            </m:sub>
          </m:sSub>
          <m:r>
            <m:rPr>
              <m:lit/>
              <m:nor/>
            </m:rPr>
            <w:rPr>
              <w:rFonts w:ascii="Cambria Math" w:hAnsi="Cambria Math"/>
            </w:rPr>
            <m:t xml:space="preserve">=</m:t>
          </m:r>
          <m:f>
            <m:num>
              <m:r>
                <m:rPr>
                  <m:lit/>
                  <m:nor/>
                </m:rPr>
                <w:rPr>
                  <w:rFonts w:ascii="Cambria Math" w:hAnsi="Cambria Math"/>
                </w:rPr>
                <m:t xml:space="preserve">21</m:t>
              </m:r>
              <m:r>
                <w:rPr>
                  <w:rFonts w:ascii="Cambria Math" w:hAnsi="Cambria Math"/>
                </w:rPr>
                <m:t xml:space="preserve">m</m:t>
              </m:r>
            </m:num>
            <m:den>
              <m:r>
                <w:rPr>
                  <w:rFonts w:ascii="Cambria Math" w:hAnsi="Cambria Math"/>
                </w:rPr>
                <m:t xml:space="preserve">1,2</m:t>
              </m:r>
              <m:f>
                <m:num>
                  <m:r>
                    <w:rPr>
                      <w:rFonts w:ascii="Cambria Math" w:hAnsi="Cambria Math"/>
                    </w:rPr>
                    <m:t xml:space="preserve">m</m:t>
                  </m:r>
                </m:num>
                <m:den>
                  <m:r>
                    <w:rPr>
                      <w:rFonts w:ascii="Cambria Math" w:hAnsi="Cambria Math"/>
                    </w:rPr>
                    <m:t xml:space="preserve">s</m:t>
                  </m:r>
                </m:den>
              </m:f>
            </m:den>
          </m:f>
          <m:r>
            <m:rPr>
              <m:lit/>
              <m:nor/>
            </m:rPr>
            <w:rPr>
              <w:rFonts w:ascii="Cambria Math" w:hAnsi="Cambria Math"/>
            </w:rPr>
            <m:t xml:space="preserve">+</m:t>
          </m:r>
          <m:f>
            <m:num>
              <m:r>
                <m:rPr>
                  <m:lit/>
                  <m:nor/>
                </m:rPr>
                <w:rPr>
                  <w:rFonts w:ascii="Cambria Math" w:hAnsi="Cambria Math"/>
                </w:rPr>
                <m:t xml:space="preserve">32</m:t>
              </m:r>
              <m:r>
                <w:rPr>
                  <w:rFonts w:ascii="Cambria Math" w:hAnsi="Cambria Math"/>
                </w:rPr>
                <m:t xml:space="preserve">m</m:t>
              </m:r>
            </m:num>
            <m:den>
              <m:r>
                <w:rPr>
                  <w:rFonts w:ascii="Cambria Math" w:hAnsi="Cambria Math"/>
                </w:rPr>
                <m:t xml:space="preserve">0,8</m:t>
              </m:r>
              <m:f>
                <m:num>
                  <m:r>
                    <w:rPr>
                      <w:rFonts w:ascii="Cambria Math" w:hAnsi="Cambria Math"/>
                    </w:rPr>
                    <m:t xml:space="preserve">m</m:t>
                  </m:r>
                </m:num>
                <m:den>
                  <m:r>
                    <w:rPr>
                      <w:rFonts w:ascii="Cambria Math" w:hAnsi="Cambria Math"/>
                    </w:rPr>
                    <m:t xml:space="preserve">s</m:t>
                  </m:r>
                </m:den>
              </m:f>
            </m:den>
          </m:f>
          <m:r>
            <m:rPr>
              <m:lit/>
              <m:nor/>
            </m:rPr>
            <w:rPr>
              <w:rFonts w:ascii="Cambria Math" w:hAnsi="Cambria Math"/>
            </w:rPr>
            <m:t xml:space="preserve">+</m:t>
          </m:r>
          <m:f>
            <m:num>
              <m:r>
                <m:rPr>
                  <m:lit/>
                  <m:nor/>
                </m:rPr>
                <w:rPr>
                  <w:rFonts w:ascii="Cambria Math" w:hAnsi="Cambria Math"/>
                </w:rPr>
                <m:t xml:space="preserve">100</m:t>
              </m:r>
              <m:r>
                <m:rPr>
                  <m:lit/>
                  <m:nor/>
                </m:rPr>
                <w:rPr>
                  <w:rFonts w:ascii="Cambria Math" w:hAnsi="Cambria Math"/>
                </w:rPr>
                <m:t xml:space="preserve">os</m:t>
              </m:r>
              <m:r>
                <m:rPr>
                  <m:lit/>
                  <m:nor/>
                </m:rPr>
                <w:rPr>
                  <w:rFonts w:ascii="Cambria Math" w:hAnsi="Cambria Math"/>
                </w:rPr>
                <m:t xml:space="preserve">.</m:t>
              </m:r>
            </m:num>
            <m:den>
              <m:r>
                <w:rPr>
                  <w:rFonts w:ascii="Cambria Math" w:hAnsi="Cambria Math"/>
                </w:rPr>
                <m:t xml:space="preserve">1,3</m:t>
              </m:r>
              <m:f>
                <m:num>
                  <m:r>
                    <m:rPr>
                      <m:lit/>
                      <m:nor/>
                    </m:rPr>
                    <w:rPr>
                      <w:rFonts w:ascii="Cambria Math" w:hAnsi="Cambria Math"/>
                    </w:rPr>
                    <m:t xml:space="preserve">os</m:t>
                  </m:r>
                  <m:r>
                    <m:rPr>
                      <m:lit/>
                      <m:nor/>
                    </m:rPr>
                    <w:rPr>
                      <w:rFonts w:ascii="Cambria Math" w:hAnsi="Cambria Math"/>
                    </w:rPr>
                    <m:t xml:space="preserve">.</m:t>
                  </m:r>
                </m:num>
                <m:den>
                  <m:r>
                    <w:rPr>
                      <w:rFonts w:ascii="Cambria Math" w:hAnsi="Cambria Math"/>
                    </w:rPr>
                    <m:t xml:space="preserve">s</m:t>
                  </m:r>
                  <m:r>
                    <w:rPr>
                      <w:rFonts w:ascii="Cambria Math" w:hAnsi="Cambria Math"/>
                    </w:rPr>
                    <m:t xml:space="preserve">⋅</m:t>
                  </m:r>
                  <m:r>
                    <w:rPr>
                      <w:rFonts w:ascii="Cambria Math" w:hAnsi="Cambria Math"/>
                    </w:rPr>
                    <m:t xml:space="preserve">m</m:t>
                  </m:r>
                </m:den>
              </m:f>
              <m:r>
                <w:rPr>
                  <w:rFonts w:ascii="Cambria Math" w:hAnsi="Cambria Math"/>
                </w:rPr>
                <m:t xml:space="preserve">⋅</m:t>
              </m:r>
              <m:r>
                <w:rPr>
                  <w:rFonts w:ascii="Cambria Math" w:hAnsi="Cambria Math"/>
                </w:rPr>
                <m:t xml:space="preserve">1,5</m:t>
              </m:r>
              <m:r>
                <w:rPr>
                  <w:rFonts w:ascii="Cambria Math" w:hAnsi="Cambria Math"/>
                </w:rPr>
                <m:t xml:space="preserve">m</m:t>
              </m:r>
            </m:den>
          </m:f>
          <m:r>
            <m:rPr>
              <m:lit/>
              <m:nor/>
            </m:rPr>
            <w:rPr>
              <w:rFonts w:ascii="Cambria Math" w:hAnsi="Cambria Math"/>
            </w:rPr>
            <m:t xml:space="preserve">=</m:t>
          </m:r>
          <m:r>
            <m:rPr>
              <m:lit/>
              <m:nor/>
            </m:rPr>
            <w:rPr>
              <w:rFonts w:ascii="Cambria Math" w:hAnsi="Cambria Math"/>
            </w:rPr>
            <m:t xml:space="preserve">17</m:t>
          </m:r>
          <m:r>
            <w:rPr>
              <w:rFonts w:ascii="Cambria Math" w:hAnsi="Cambria Math"/>
            </w:rPr>
            <m:t xml:space="preserve">,5</m:t>
          </m:r>
          <m:r>
            <m:rPr>
              <m:lit/>
              <m:nor/>
            </m:rPr>
            <w:rPr>
              <w:rFonts w:ascii="Cambria Math" w:hAnsi="Cambria Math"/>
            </w:rPr>
            <m:t xml:space="preserve">+</m:t>
          </m:r>
          <m:r>
            <m:rPr>
              <m:lit/>
              <m:nor/>
            </m:rPr>
            <w:rPr>
              <w:rFonts w:ascii="Cambria Math" w:hAnsi="Cambria Math"/>
            </w:rPr>
            <m:t xml:space="preserve">40</m:t>
          </m:r>
          <m:r>
            <m:rPr>
              <m:lit/>
              <m:nor/>
            </m:rPr>
            <w:rPr>
              <w:rFonts w:ascii="Cambria Math" w:hAnsi="Cambria Math"/>
            </w:rPr>
            <m:t xml:space="preserve">+</m:t>
          </m:r>
          <m:r>
            <m:rPr>
              <m:lit/>
              <m:nor/>
            </m:rPr>
            <w:rPr>
              <w:rFonts w:ascii="Cambria Math" w:hAnsi="Cambria Math"/>
            </w:rPr>
            <m:t xml:space="preserve">51</m:t>
          </m:r>
          <m:r>
            <w:rPr>
              <w:rFonts w:ascii="Cambria Math" w:hAnsi="Cambria Math"/>
            </w:rPr>
            <m:t xml:space="preserve">,</m:t>
          </m:r>
          <m:r>
            <m:rPr>
              <m:lit/>
              <m:nor/>
            </m:rPr>
            <w:rPr>
              <w:rFonts w:ascii="Cambria Math" w:hAnsi="Cambria Math"/>
            </w:rPr>
            <m:t xml:space="preserve">28</m:t>
          </m:r>
          <m:r>
            <m:rPr>
              <m:lit/>
              <m:nor/>
            </m:rPr>
            <w:rPr>
              <w:rFonts w:ascii="Cambria Math" w:hAnsi="Cambria Math"/>
            </w:rPr>
            <m:t xml:space="preserve">=</m:t>
          </m:r>
          <m:r>
            <m:rPr>
              <m:lit/>
              <m:nor/>
            </m:rPr>
            <w:rPr>
              <w:rFonts w:ascii="Cambria Math" w:hAnsi="Cambria Math"/>
            </w:rPr>
            <m:t xml:space="preserve">108</m:t>
          </m:r>
          <m:r>
            <w:rPr>
              <w:rFonts w:ascii="Cambria Math" w:hAnsi="Cambria Math"/>
            </w:rPr>
            <m:t xml:space="preserve">,</m:t>
          </m:r>
          <m:r>
            <m:rPr>
              <m:lit/>
              <m:nor/>
            </m:rPr>
            <w:rPr>
              <w:rFonts w:ascii="Cambria Math" w:hAnsi="Cambria Math"/>
            </w:rPr>
            <m:t xml:space="preserve">78</m:t>
          </m:r>
          <m:r>
            <w:rPr>
              <w:rFonts w:ascii="Cambria Math" w:hAnsi="Cambria Math"/>
            </w:rPr>
            <m:t xml:space="preserve">s</m:t>
          </m:r>
        </m:oMath>
      </m:oMathPara>
    </w:p>
    <w:p>
      <w:pPr>
        <w:pStyle w:val="Normal"/>
        <w:ind w:hanging="0" w:left="0"/>
        <w:jc w:val="center"/>
        <w:rPr>
          <w:rFonts w:ascii="Times New Roman" w:hAnsi="Times New Roman"/>
        </w:rPr>
      </w:pPr>
      <w:r>
        <w:rPr/>
        <w:t>WCBE = 60 s +30 s + 109 s = 199 s</w:t>
      </w:r>
    </w:p>
    <w:p>
      <w:pPr>
        <w:pStyle w:val="Normal"/>
        <w:ind w:hanging="0" w:left="0"/>
        <w:jc w:val="center"/>
        <w:rPr>
          <w:rFonts w:ascii="Times New Roman" w:hAnsi="Times New Roman"/>
        </w:rPr>
      </w:pPr>
      <w:r>
        <w:rPr/>
      </w:r>
      <m:oMathPara xmlns:m="http://schemas.openxmlformats.org/officeDocument/2006/math">
        <m:oMathParaPr>
          <m:jc m:val="center"/>
        </m:oMathParaPr>
        <m:oMath>
          <m:r>
            <m:rPr>
              <m:lit/>
              <m:nor/>
            </m:rPr>
            <w:rPr>
              <w:rFonts w:ascii="Cambria Math" w:hAnsi="Cambria Math"/>
            </w:rPr>
            <m:t xml:space="preserve">WCBE</m:t>
          </m:r>
          <m:r>
            <m:rPr>
              <m:lit/>
              <m:nor/>
            </m:rPr>
            <w:rPr>
              <w:rFonts w:ascii="Cambria Math" w:hAnsi="Cambria Math"/>
            </w:rPr>
            <m:t xml:space="preserve">=</m:t>
          </m:r>
          <m:f>
            <m:num>
              <m:r>
                <m:rPr>
                  <m:lit/>
                  <m:nor/>
                </m:rPr>
                <w:rPr>
                  <w:rFonts w:ascii="Cambria Math" w:hAnsi="Cambria Math"/>
                </w:rPr>
                <m:t xml:space="preserve">199</m:t>
              </m:r>
              <m:r>
                <w:rPr>
                  <w:rFonts w:ascii="Cambria Math" w:hAnsi="Cambria Math"/>
                </w:rPr>
                <m:t xml:space="preserve">s</m:t>
              </m:r>
            </m:num>
            <m:den>
              <m:r>
                <m:rPr>
                  <m:lit/>
                  <m:nor/>
                </m:rPr>
                <w:rPr>
                  <w:rFonts w:ascii="Cambria Math" w:hAnsi="Cambria Math"/>
                </w:rPr>
                <m:t xml:space="preserve">60</m:t>
              </m:r>
              <m:r>
                <w:rPr>
                  <w:rFonts w:ascii="Cambria Math" w:hAnsi="Cambria Math"/>
                </w:rPr>
                <m:t xml:space="preserve">s</m:t>
              </m:r>
            </m:den>
          </m:f>
          <m:r>
            <m:rPr>
              <m:lit/>
              <m:nor/>
            </m:rPr>
            <w:rPr>
              <w:rFonts w:ascii="Cambria Math" w:hAnsi="Cambria Math"/>
            </w:rPr>
            <m:t xml:space="preserve">=</m:t>
          </m:r>
          <m:r>
            <w:rPr>
              <w:rFonts w:ascii="Cambria Math" w:hAnsi="Cambria Math"/>
            </w:rPr>
            <m:t xml:space="preserve">3,3</m:t>
          </m:r>
          <m:r>
            <m:rPr>
              <m:lit/>
              <m:nor/>
            </m:rPr>
            <w:rPr>
              <w:rFonts w:ascii="Cambria Math" w:hAnsi="Cambria Math"/>
            </w:rPr>
            <m:t xml:space="preserve">min</m:t>
          </m:r>
        </m:oMath>
      </m:oMathPara>
    </w:p>
    <w:p>
      <w:pPr>
        <w:pStyle w:val="Normal"/>
        <w:ind w:hanging="0" w:left="0"/>
        <w:rPr>
          <w:rFonts w:ascii="Times New Roman" w:hAnsi="Times New Roman"/>
        </w:rPr>
      </w:pPr>
      <w:r>
        <w:rPr/>
        <w:t>Jako kryterium określające dostępny czas bezpiecznej ewakuacji przyjęto parametr zagrożenia, którego wystąpienie następuje w najkrótszym czasie. Należy uwzględnić, że zastosowane bierne zabezpieczenia przeciwpożarowe zapewniają:</w:t>
      </w:r>
    </w:p>
    <w:p>
      <w:pPr>
        <w:pStyle w:val="Akapitzlist"/>
        <w:numPr>
          <w:ilvl w:val="0"/>
          <w:numId w:val="17"/>
        </w:numPr>
        <w:ind w:hanging="567" w:left="567" w:right="0"/>
        <w:rPr>
          <w:rFonts w:ascii="Times New Roman" w:hAnsi="Times New Roman"/>
        </w:rPr>
      </w:pPr>
      <w:r>
        <w:rPr>
          <w:rFonts w:ascii="Times New Roman" w:hAnsi="Times New Roman"/>
        </w:rPr>
        <w:t>klasę odporności ogniowej stropów, obudowę dróg ewakuacyjnych w tych elementach – EI 30,</w:t>
      </w:r>
    </w:p>
    <w:p>
      <w:pPr>
        <w:pStyle w:val="Akapitzlist"/>
        <w:numPr>
          <w:ilvl w:val="0"/>
          <w:numId w:val="17"/>
        </w:numPr>
        <w:ind w:hanging="567" w:left="567" w:right="0"/>
        <w:rPr>
          <w:rFonts w:ascii="Times New Roman" w:hAnsi="Times New Roman"/>
        </w:rPr>
      </w:pPr>
      <w:r>
        <w:rPr>
          <w:rFonts w:ascii="Times New Roman" w:hAnsi="Times New Roman"/>
        </w:rPr>
        <w:t xml:space="preserve">odporność ogniową głównej konstrukcji nośnej budynku – R 60. </w:t>
      </w:r>
    </w:p>
    <w:p>
      <w:pPr>
        <w:pStyle w:val="Normal"/>
        <w:ind w:hanging="0" w:left="0"/>
        <w:rPr>
          <w:rFonts w:ascii="Times New Roman" w:hAnsi="Times New Roman"/>
        </w:rPr>
      </w:pPr>
      <w:r>
        <w:rPr/>
        <w:t xml:space="preserve">W analizowanym przypadku należy przyjąć DCBE, równy 30 minut.  </w:t>
      </w:r>
    </w:p>
    <w:p>
      <w:pPr>
        <w:pStyle w:val="Normal"/>
        <w:ind w:hanging="0" w:left="0"/>
        <w:rPr>
          <w:rFonts w:ascii="Times New Roman" w:hAnsi="Times New Roman"/>
        </w:rPr>
      </w:pPr>
      <w:r>
        <w:rPr/>
        <w:t>Zatem:</w:t>
      </w:r>
    </w:p>
    <w:p>
      <w:pPr>
        <w:pStyle w:val="Normal"/>
        <w:ind w:hanging="0" w:left="0"/>
        <w:jc w:val="center"/>
        <w:rPr>
          <w:rFonts w:ascii="Times New Roman" w:hAnsi="Times New Roman"/>
        </w:rPr>
      </w:pPr>
      <w:r>
        <w:rPr/>
      </w:r>
    </w:p>
    <w:p>
      <w:pPr>
        <w:pStyle w:val="Normal"/>
        <w:ind w:hanging="0" w:left="0"/>
        <w:jc w:val="center"/>
        <w:rPr>
          <w:rFonts w:ascii="Times New Roman" w:hAnsi="Times New Roman"/>
        </w:rPr>
      </w:pPr>
      <w:r>
        <w:rPr/>
        <w:t>DCBE – WCBE = 30 minut – 3,3 minuty = 26,7 minut</w:t>
      </w:r>
    </w:p>
    <w:p>
      <w:pPr>
        <w:pStyle w:val="Normal"/>
        <w:ind w:hanging="0" w:left="0"/>
        <w:rPr>
          <w:rFonts w:ascii="Times New Roman" w:hAnsi="Times New Roman"/>
          <w:b/>
          <w:color w:val="FF0000"/>
        </w:rPr>
      </w:pPr>
      <w:r>
        <w:rPr>
          <w:b/>
          <w:color w:val="FF0000"/>
        </w:rPr>
      </w:r>
    </w:p>
    <w:p>
      <w:pPr>
        <w:pStyle w:val="Normal"/>
        <w:ind w:hanging="0" w:left="0"/>
        <w:rPr>
          <w:rFonts w:ascii="Times New Roman" w:hAnsi="Times New Roman"/>
          <w:b/>
          <w:i/>
        </w:rPr>
      </w:pPr>
      <w:r>
        <w:rPr>
          <w:b/>
          <w:i/>
        </w:rPr>
        <w:t xml:space="preserve">Margines bezpieczeństwa wynoszący 27,7 minut jest wystarczający do stwierdzenia, iż w przedmiotowym budynku, przy zastosowaniu proponowanych rozwiązań zastępczych, kryterium bezpiecznej ewakuacji zostało spełnione. W związku </w:t>
        <w:br/>
        <w:t>z powyższym należy uznać, że w budynku nie występują warunki zagrażające życiu ludzi.</w:t>
      </w:r>
    </w:p>
    <w:p>
      <w:pPr>
        <w:pStyle w:val="Normal"/>
        <w:ind w:hanging="0" w:left="0"/>
        <w:rPr>
          <w:rFonts w:ascii="Times New Roman" w:hAnsi="Times New Roman"/>
        </w:rPr>
      </w:pPr>
      <w:r>
        <w:rPr>
          <w:b/>
          <w:szCs w:val="24"/>
        </w:rPr>
        <w:t xml:space="preserve">Na podstawie powyższych obliczeń stwierdzono, iż całkowity czas ewakuacji użytkowników z danej strefy pożarowej w budynku w przypadku wystąpienia pożaru nie przekroczy </w:t>
      </w:r>
      <w:r>
        <w:rPr>
          <w:b/>
          <w:bCs/>
          <w:szCs w:val="24"/>
        </w:rPr>
        <w:t>300 sekund</w:t>
      </w:r>
      <w:r>
        <w:rPr>
          <w:b/>
          <w:szCs w:val="24"/>
        </w:rPr>
        <w:t>. Biorąc pod uwagę powyższe oraz uwzględniając normę NFPA 204 wynika jednoznacznie, że w opisywanym czasie od momentu powstania pożaru do zakończenia ewakuacji moc pożaru nie przekroczy 1MW, co dodatkowo wpływa na bezpieczną ewakuację</w:t>
      </w:r>
      <w:r>
        <w:rPr>
          <w:b/>
        </w:rPr>
        <w:t xml:space="preserve">. </w:t>
      </w:r>
    </w:p>
    <w:p>
      <w:pPr>
        <w:pStyle w:val="Heading1"/>
        <w:rPr>
          <w:rFonts w:ascii="Times New Roman" w:hAnsi="Times New Roman"/>
          <w:color w:val="000000"/>
        </w:rPr>
      </w:pPr>
      <w:bookmarkStart w:id="36" w:name="__RefHeading___Toc411372053"/>
      <w:bookmarkEnd w:id="36"/>
      <w:r>
        <w:rPr>
          <w:color w:val="000000"/>
        </w:rPr>
        <w:t>Wnioski wynikające z ekspertyzy warunków ochrony przeciwpożarowej budynku</w:t>
      </w:r>
    </w:p>
    <w:p>
      <w:pPr>
        <w:pStyle w:val="Normal"/>
        <w:ind w:hanging="0" w:left="0"/>
        <w:rPr>
          <w:rFonts w:ascii="Times New Roman" w:hAnsi="Times New Roman"/>
        </w:rPr>
      </w:pPr>
      <w:r>
        <w:rPr/>
        <w:t>Zakres ekspertyzy wynika z wymagań aktualnie obowiązujących warunków technicznych, jakim powinny odpowiadać budynki i ich usytuowanie oraz innych stosownych w praktyce rozwiązań, których zastosowanie ma sens ze względu na specyfikę budowlaną istniejącego obiektu. Najistotniejszym założeniem przy określeniu zakresu i stopnia zabezpieczenia przeciwpożarowego budynku jest zapewnienie bezpieczeństwa w czasie pożaru, a w szczególności zapewnienia możliwości ewakuacji ludzi w bezpieczne miejsce lub na zewnątrz budynku. Autorzy opracowania biorąc pod uwagę ograniczone możliwości techniczne ingerencji w budynek, zaproponowali zastosowanie rozwiązań technicznych, które w maksymalnym stopniu poprawią stan bezpieczeństwa pożarowego poprzez podział obiektu na dwie strefy pożarowe, co zostało przedstawione w niniejszej ekspertyzie.</w:t>
      </w:r>
    </w:p>
    <w:p>
      <w:pPr>
        <w:pStyle w:val="Normal"/>
        <w:ind w:hanging="0" w:left="0"/>
        <w:rPr>
          <w:rFonts w:ascii="Times New Roman" w:hAnsi="Times New Roman"/>
        </w:rPr>
      </w:pPr>
      <w:r>
        <w:rPr/>
        <w:t>W rozpatrywanym przypadku nie dokonywano analizy numerycznej rozwoju pożaru ze względu na krótkie odcinki do pokonania przez ewakuujących się ludzi oraz ze względu, iż szybkość rozprzestrzeniania dymu w tego typu obiektach jest wolna.</w:t>
      </w:r>
    </w:p>
    <w:p>
      <w:pPr>
        <w:pStyle w:val="Normal"/>
        <w:ind w:hanging="0" w:left="0"/>
        <w:rPr>
          <w:rFonts w:ascii="Times New Roman" w:hAnsi="Times New Roman"/>
        </w:rPr>
      </w:pPr>
      <w:r>
        <w:rPr>
          <w:rFonts w:eastAsia="Times New Roman"/>
          <w:color w:val="FF0000"/>
        </w:rPr>
        <w:t xml:space="preserve"> </w:t>
      </w:r>
      <w:r>
        <w:rPr/>
        <w:t>Wskazane rozwiązania techniczne oraz określone założenia w zakresie ewakuacji są uzasadnione pod warunkiem spełnienia przez zarządcę obiektu</w:t>
      </w:r>
      <w:r>
        <w:rPr>
          <w:color w:val="FF0000"/>
        </w:rPr>
        <w:t xml:space="preserve"> </w:t>
      </w:r>
      <w:r>
        <w:rPr/>
        <w:t xml:space="preserve">przeszkolenia personelu zgodnie z przyjętą procedurą ewakuacyjną zawartą w instrukcji bezpieczeństwa pożarowego. </w:t>
      </w:r>
    </w:p>
    <w:p>
      <w:pPr>
        <w:pStyle w:val="Normal"/>
        <w:ind w:hanging="0" w:left="0"/>
        <w:rPr>
          <w:rFonts w:ascii="Times New Roman" w:hAnsi="Times New Roman"/>
        </w:rPr>
      </w:pPr>
      <w:r>
        <w:rPr/>
        <w:t>Zastosowanie biernych oddzieleń przeciwpożarowych jest kluczowym elementem  do spełnienia podstawowych wymagań dla obiektu budowlanego, dlatego autorzy  zrezygnowali z zastosowania urządzeń służących do usuwania dymu z klatek schodowych. Miejsca lokalizacji wydzieleń przeciwpożarowych w obiekcie jest dostosowane do wymagań wynikających z przyjętego scenariusza rozwoju w czasie pożaru, a scenariusz wynika z dogłębnej analizy czynników oddziałujących na poziom zagrożenia pożarowego w rozpatrywanym obiekcie.</w:t>
      </w:r>
    </w:p>
    <w:p>
      <w:pPr>
        <w:pStyle w:val="Normal"/>
        <w:ind w:hanging="0" w:left="0"/>
        <w:rPr>
          <w:rFonts w:ascii="Times New Roman" w:hAnsi="Times New Roman"/>
        </w:rPr>
      </w:pPr>
      <w:r>
        <w:rPr/>
        <w:t>Zaproponowany poziom zapewnia nie pogorszenie warunków bezpieczeństwa pożarowego w obiekcie w sposób inny niż wskazany w rozporządzeniu w sprawie warunków technicznych, jakim powinny odpowiadać budynki i ich usytuowanie.</w:t>
      </w:r>
    </w:p>
    <w:p>
      <w:pPr>
        <w:pStyle w:val="Normal"/>
        <w:ind w:hanging="0" w:left="0"/>
        <w:rPr>
          <w:rFonts w:ascii="Times New Roman" w:hAnsi="Times New Roman"/>
        </w:rPr>
      </w:pPr>
      <w:r>
        <w:rPr/>
        <w:t>Zastosowane środki zabezpieczenia oraz istniejące warunki techniczno-budowlane zapewniają: dostateczną wysokości i szerokości wyjść ewakuacyjnych, nie przekroczenie dopuszczalnej długości przejść i dojść ewakuacyjnych.</w:t>
      </w:r>
    </w:p>
    <w:p>
      <w:pPr>
        <w:pStyle w:val="Normal"/>
        <w:ind w:hanging="0" w:left="0"/>
        <w:rPr>
          <w:rFonts w:ascii="Times New Roman" w:hAnsi="Times New Roman"/>
        </w:rPr>
      </w:pPr>
      <w:r>
        <w:rPr/>
        <w:t xml:space="preserve">Wprowadzenie w życie wskazań opisanych w przedmiotowej ekspertyzie pozwoli z jednej strony na zoptymalizowanie zastosowanych zabezpieczeń przeciwpożarowych, a z drugiej strony obniżenie kosztów tych zabezpieczeń.   </w:t>
      </w:r>
    </w:p>
    <w:p>
      <w:pPr>
        <w:pStyle w:val="Normal"/>
        <w:ind w:hanging="0" w:left="0"/>
        <w:rPr>
          <w:rFonts w:ascii="Times New Roman" w:hAnsi="Times New Roman"/>
        </w:rPr>
      </w:pPr>
      <w:r>
        <w:rPr/>
        <w:t>W opracowanej ekspertyzie przedstawione rozwiązania zamienne stanowią rekompensatę w stosunku do tych wymagań przepisów rozporządzenia Ministra Infrastruktury, których nie można spełnić w sposób bezpośredni. Reasumując powyższe w zakresie ewakuacji należy stwierdzić:</w:t>
      </w:r>
    </w:p>
    <w:p>
      <w:pPr>
        <w:pStyle w:val="Normal"/>
        <w:numPr>
          <w:ilvl w:val="0"/>
          <w:numId w:val="7"/>
        </w:numPr>
        <w:rPr>
          <w:rFonts w:ascii="Times New Roman" w:hAnsi="Times New Roman"/>
        </w:rPr>
      </w:pPr>
      <w:r>
        <w:rPr/>
        <w:t>w budynku w większości przypadków istnieją dwa kierunki ewakuacji.</w:t>
      </w:r>
    </w:p>
    <w:p>
      <w:pPr>
        <w:pStyle w:val="Normal"/>
        <w:numPr>
          <w:ilvl w:val="0"/>
          <w:numId w:val="7"/>
        </w:numPr>
        <w:rPr>
          <w:rFonts w:ascii="Times New Roman" w:hAnsi="Times New Roman"/>
        </w:rPr>
      </w:pPr>
      <w:r>
        <w:rPr/>
        <w:t xml:space="preserve">dopuszczalna długość dojścia ewakuacyjnego przy jednym kierunku ewakuacji dla kategorii zagrożenia ludzi ZL III nie jest przekroczona o ponad 100 %. </w:t>
      </w:r>
    </w:p>
    <w:p>
      <w:pPr>
        <w:pStyle w:val="Normal"/>
        <w:numPr>
          <w:ilvl w:val="0"/>
          <w:numId w:val="7"/>
        </w:numPr>
        <w:rPr>
          <w:rFonts w:ascii="Times New Roman" w:hAnsi="Times New Roman"/>
        </w:rPr>
      </w:pPr>
      <w:r>
        <w:rPr/>
        <w:t>ewakuacja w obrębie klatek schodowych pozwala na wyjście ludzi bezpośrednio na zewnątrz budynku ułatwiając tym samym prowadzenie szybkiej i skutecznej ewakuacji.</w:t>
      </w:r>
    </w:p>
    <w:p>
      <w:pPr>
        <w:pStyle w:val="Normal"/>
        <w:numPr>
          <w:ilvl w:val="0"/>
          <w:numId w:val="7"/>
        </w:numPr>
        <w:rPr>
          <w:rFonts w:ascii="Times New Roman" w:hAnsi="Times New Roman"/>
        </w:rPr>
      </w:pPr>
      <w:r>
        <w:rPr/>
        <w:t>zaproponowane rozwiązania eliminują większość niezgodności, które występują w stanie obecnym. W szczególności pozwalają ograniczyć długość dojścia ewakuacyjnego jak również możliwość rozprzestrzeniani się pożaru na cały budynek z uwagi na podzielenie budynku za pomocą przegród budowlanych i przeciwpożarowych na bardzo małe strefy pożarowe co znacznie poprawia warunki bezpieczeństwa pożarowego w obiekcie.</w:t>
      </w:r>
    </w:p>
    <w:p>
      <w:pPr>
        <w:pStyle w:val="Normal"/>
        <w:numPr>
          <w:ilvl w:val="0"/>
          <w:numId w:val="7"/>
        </w:numPr>
        <w:rPr>
          <w:rFonts w:ascii="Times New Roman" w:hAnsi="Times New Roman"/>
        </w:rPr>
      </w:pPr>
      <w:r>
        <w:rPr/>
        <w:t>rozwiązania powyższe pozwalają na stworzenie warunków bezpiecznej ewakuacji ludzi z budynków, gdyż pozostałe niegodności będą miały niewielki wpływ na prawidłowy przebieg i sprawność ewakuacji osób z budynku.</w:t>
      </w:r>
    </w:p>
    <w:p>
      <w:pPr>
        <w:pStyle w:val="Normal"/>
        <w:numPr>
          <w:ilvl w:val="0"/>
          <w:numId w:val="7"/>
        </w:numPr>
        <w:rPr>
          <w:rFonts w:ascii="Times New Roman" w:hAnsi="Times New Roman"/>
        </w:rPr>
      </w:pPr>
      <w:r>
        <w:rPr/>
        <w:t>zaproponowane rozwiązania dostosowania obiektu w zakresie techniczno – budowlanym i instalacyjnym maja charakter i zakres taki, by było to realnie możliwe do wykonania w budynku już funkcjonującym i by jednocześnie docelowo w pełni dostosować do akceptowalnego poziomu bezpieczeństwa.</w:t>
      </w:r>
    </w:p>
    <w:p>
      <w:pPr>
        <w:pStyle w:val="Normal"/>
        <w:numPr>
          <w:ilvl w:val="0"/>
          <w:numId w:val="7"/>
        </w:numPr>
        <w:rPr>
          <w:rFonts w:ascii="Times New Roman" w:hAnsi="Times New Roman"/>
        </w:rPr>
      </w:pPr>
      <w:r>
        <w:rPr/>
        <w:t>W pobliżu Zespołu Szkolno-Przedszkolnego zlokalizowana jest jednostka Ochotniczej Straży Pożarnej (ul. Zielona) w odległości ok. 60 m zakwalifikowana jako Jednostka Operacyjną Techniczną co dodatkowo sprzyja zapewnieniu bezpieczeństwa dla analizowanego budynku.</w:t>
      </w:r>
    </w:p>
    <w:p>
      <w:pPr>
        <w:pStyle w:val="Normal"/>
        <w:widowControl w:val="false"/>
        <w:numPr>
          <w:ilvl w:val="0"/>
          <w:numId w:val="7"/>
        </w:numPr>
        <w:suppressAutoHyphens w:val="true"/>
        <w:bidi w:val="0"/>
        <w:spacing w:lineRule="auto" w:line="360" w:before="100" w:after="0"/>
        <w:ind w:hanging="0" w:left="0" w:right="938"/>
        <w:jc w:val="both"/>
        <w:rPr>
          <w:rFonts w:ascii="Times New Roman" w:hAnsi="Times New Roman" w:eastAsia="Times New Roman"/>
          <w:b w:val="false"/>
          <w:bCs w:val="false"/>
          <w:i w:val="false"/>
          <w:iCs w:val="false"/>
          <w:color w:val="000000"/>
          <w:sz w:val="22"/>
          <w:szCs w:val="22"/>
          <w:shd w:fill="auto" w:val="clear"/>
          <w:lang w:eastAsia="pl-PL"/>
        </w:rPr>
      </w:pPr>
      <w:r>
        <w:rPr>
          <w:rFonts w:eastAsia="Times New Roman"/>
          <w:b w:val="false"/>
          <w:bCs w:val="false"/>
          <w:i w:val="false"/>
          <w:iCs w:val="false"/>
          <w:color w:val="000000"/>
          <w:sz w:val="22"/>
          <w:szCs w:val="22"/>
          <w:shd w:fill="auto" w:val="clear"/>
          <w:lang w:val="pl-PL" w:eastAsia="pl-PL"/>
        </w:rPr>
        <w:t>Zapewniono 4 dojazdy pożarowe co jest dodatkowym atutem.</w:t>
      </w:r>
      <w:bookmarkStart w:id="37" w:name="_PictureBullets"/>
      <w:bookmarkEnd w:id="37"/>
    </w:p>
    <w:p>
      <w:pPr>
        <w:pStyle w:val="Normal"/>
        <w:widowControl w:val="false"/>
        <w:numPr>
          <w:ilvl w:val="0"/>
          <w:numId w:val="0"/>
        </w:numPr>
        <w:suppressAutoHyphens w:val="true"/>
        <w:bidi w:val="0"/>
        <w:spacing w:lineRule="auto" w:line="360" w:before="0" w:after="0"/>
        <w:ind w:hanging="0" w:left="0" w:right="1863"/>
        <w:jc w:val="both"/>
        <w:rPr>
          <w:rFonts w:ascii="Times New Roman" w:hAnsi="Times New Roman"/>
          <w:color w:val="000000"/>
          <w:shd w:fill="FFFF00" w:val="clear"/>
        </w:rPr>
      </w:pPr>
      <w:r>
        <w:rPr>
          <w:color w:val="000000"/>
          <w:shd w:fill="FFFF00" w:val="clear"/>
        </w:rPr>
      </w:r>
    </w:p>
    <w:p>
      <w:pPr>
        <w:pStyle w:val="Normal"/>
        <w:spacing w:lineRule="auto" w:line="360"/>
        <w:ind w:hanging="0" w:left="0"/>
        <w:jc w:val="both"/>
        <w:outlineLvl w:val="0"/>
        <w:rPr>
          <w:color w:val="000000"/>
        </w:rPr>
      </w:pPr>
      <w:bookmarkStart w:id="38" w:name="__RefHeading___Toc8844_1000694973"/>
      <w:bookmarkEnd w:id="38"/>
      <w:r>
        <w:rPr>
          <w:rFonts w:eastAsia="Times New Roman"/>
          <w:b/>
          <w:bCs/>
          <w:color w:val="000000"/>
          <w:sz w:val="22"/>
          <w:szCs w:val="22"/>
          <w:shd w:fill="auto" w:val="clear"/>
          <w:lang w:eastAsia="pl-PL"/>
        </w:rPr>
        <w:t>8. UWAGI OGÓLNE</w:t>
      </w:r>
    </w:p>
    <w:p>
      <w:pPr>
        <w:pStyle w:val="Normal"/>
        <w:spacing w:lineRule="auto" w:line="360" w:before="100" w:after="0"/>
        <w:ind w:hanging="0" w:left="0" w:right="0"/>
        <w:jc w:val="both"/>
        <w:rPr>
          <w:color w:val="000000"/>
        </w:rPr>
      </w:pPr>
      <w:r>
        <w:rPr>
          <w:rFonts w:eastAsia="Times New Roman"/>
          <w:color w:val="000000"/>
          <w:sz w:val="22"/>
          <w:szCs w:val="22"/>
          <w:shd w:fill="auto" w:val="clear"/>
          <w:lang w:eastAsia="pl-PL"/>
        </w:rPr>
        <w:t>Dla przedmiotowej inwestycji otrzymano odstępstwo od Małopolskiego Komendanta Wojewódzkiej Państwowej Straży Pożarnej ze względu na niespełnienie wymagań ochrony przeciwpożarowej w zakresie:</w:t>
      </w:r>
    </w:p>
    <w:p>
      <w:pPr>
        <w:pStyle w:val="Normal"/>
        <w:spacing w:lineRule="auto" w:line="360" w:before="100" w:after="0"/>
        <w:ind w:hanging="0" w:left="0" w:right="0"/>
        <w:jc w:val="both"/>
        <w:rPr>
          <w:color w:val="000000"/>
        </w:rPr>
      </w:pPr>
      <w:r>
        <w:rPr>
          <w:rFonts w:eastAsia="Times New Roman"/>
          <w:color w:val="000000"/>
          <w:sz w:val="22"/>
          <w:szCs w:val="22"/>
          <w:shd w:fill="auto" w:val="clear"/>
          <w:lang w:eastAsia="pl-PL"/>
        </w:rPr>
        <w:t xml:space="preserve">  </w:t>
      </w:r>
      <w:r>
        <w:rPr>
          <w:rFonts w:eastAsia="Times New Roman"/>
          <w:color w:val="000000"/>
          <w:sz w:val="22"/>
          <w:szCs w:val="22"/>
          <w:shd w:fill="auto" w:val="clear"/>
          <w:lang w:eastAsia="pl-PL"/>
        </w:rPr>
        <w:t>-szerokości użytkowej biegów i spoczników schodów stałych,</w:t>
      </w:r>
    </w:p>
    <w:p>
      <w:pPr>
        <w:pStyle w:val="Normal"/>
        <w:spacing w:lineRule="auto" w:line="360" w:before="100" w:after="0"/>
        <w:ind w:hanging="0" w:left="0" w:right="0"/>
        <w:jc w:val="both"/>
        <w:rPr>
          <w:color w:val="000000"/>
        </w:rPr>
      </w:pPr>
      <w:r>
        <w:rPr>
          <w:rFonts w:eastAsia="Times New Roman"/>
          <w:color w:val="000000"/>
          <w:sz w:val="22"/>
          <w:szCs w:val="22"/>
          <w:shd w:fill="auto" w:val="clear"/>
          <w:lang w:eastAsia="pl-PL"/>
        </w:rPr>
        <w:t xml:space="preserve">  </w:t>
      </w:r>
      <w:r>
        <w:rPr>
          <w:rFonts w:eastAsia="Times New Roman"/>
          <w:color w:val="000000"/>
          <w:sz w:val="22"/>
          <w:szCs w:val="22"/>
          <w:shd w:fill="auto" w:val="clear"/>
          <w:lang w:eastAsia="pl-PL"/>
        </w:rPr>
        <w:t>-szerokości i wysokości drzwi stanowiących wyjście ewakuacyjne z pomieszczenia,</w:t>
      </w:r>
    </w:p>
    <w:p>
      <w:pPr>
        <w:pStyle w:val="Normal"/>
        <w:spacing w:lineRule="auto" w:line="360" w:before="100" w:after="0"/>
        <w:ind w:hanging="0" w:left="0" w:right="0"/>
        <w:jc w:val="both"/>
        <w:rPr>
          <w:color w:val="000000"/>
        </w:rPr>
      </w:pPr>
      <w:r>
        <w:rPr>
          <w:rFonts w:eastAsia="Times New Roman"/>
          <w:color w:val="000000"/>
          <w:sz w:val="22"/>
          <w:szCs w:val="22"/>
          <w:shd w:fill="auto" w:val="clear"/>
          <w:lang w:eastAsia="pl-PL"/>
        </w:rPr>
        <w:t xml:space="preserve"> </w:t>
      </w:r>
      <w:r>
        <w:rPr>
          <w:rFonts w:eastAsia="Times New Roman"/>
          <w:color w:val="000000"/>
          <w:sz w:val="22"/>
          <w:szCs w:val="22"/>
          <w:shd w:fill="auto" w:val="clear"/>
          <w:lang w:eastAsia="pl-PL"/>
        </w:rPr>
        <w:t>-stosowania pionowych pasów o szerokości co najmniej 2 m z materiału niepalnego i klasie odporności ogniowej El 60,</w:t>
      </w:r>
    </w:p>
    <w:p>
      <w:pPr>
        <w:pStyle w:val="Normal"/>
        <w:spacing w:lineRule="auto" w:line="360" w:before="100" w:after="0"/>
        <w:ind w:hanging="0" w:left="0" w:right="0"/>
        <w:jc w:val="both"/>
        <w:rPr>
          <w:color w:val="000000"/>
        </w:rPr>
      </w:pPr>
      <w:r>
        <w:rPr>
          <w:rFonts w:eastAsia="Times New Roman"/>
          <w:color w:val="000000"/>
          <w:sz w:val="22"/>
          <w:szCs w:val="22"/>
          <w:shd w:fill="auto" w:val="clear"/>
          <w:lang w:eastAsia="pl-PL"/>
        </w:rPr>
        <w:t xml:space="preserve">  </w:t>
      </w:r>
      <w:r>
        <w:rPr>
          <w:rFonts w:eastAsia="Times New Roman"/>
          <w:color w:val="000000"/>
          <w:sz w:val="22"/>
          <w:szCs w:val="22"/>
          <w:shd w:fill="auto" w:val="clear"/>
          <w:lang w:eastAsia="pl-PL"/>
        </w:rPr>
        <w:t>-długości dojścia ewakuacyjnego,</w:t>
      </w:r>
    </w:p>
    <w:p>
      <w:pPr>
        <w:pStyle w:val="Normal"/>
        <w:spacing w:lineRule="auto" w:line="360" w:before="100" w:after="0"/>
        <w:ind w:hanging="0" w:left="0" w:right="0"/>
        <w:jc w:val="both"/>
        <w:rPr>
          <w:color w:val="000000"/>
        </w:rPr>
      </w:pPr>
      <w:r>
        <w:rPr>
          <w:rFonts w:eastAsia="Times New Roman"/>
          <w:color w:val="000000"/>
          <w:sz w:val="22"/>
          <w:szCs w:val="22"/>
          <w:shd w:fill="auto" w:val="clear"/>
          <w:lang w:eastAsia="pl-PL"/>
        </w:rPr>
        <w:t xml:space="preserve">  </w:t>
      </w:r>
      <w:r>
        <w:rPr>
          <w:rFonts w:eastAsia="Times New Roman"/>
          <w:color w:val="000000"/>
          <w:sz w:val="22"/>
          <w:szCs w:val="22"/>
          <w:shd w:fill="auto" w:val="clear"/>
          <w:lang w:eastAsia="pl-PL"/>
        </w:rPr>
        <w:t>-lokalizacji kotłowni gazowej w kondygnacji podziemnej budynku,</w:t>
      </w:r>
    </w:p>
    <w:p>
      <w:pPr>
        <w:pStyle w:val="Normal"/>
        <w:spacing w:lineRule="auto" w:line="360" w:before="100" w:after="0"/>
        <w:ind w:hanging="0" w:left="0" w:right="0"/>
        <w:jc w:val="both"/>
        <w:rPr>
          <w:color w:val="000000"/>
        </w:rPr>
      </w:pPr>
      <w:r>
        <w:rPr>
          <w:rFonts w:eastAsia="Times New Roman"/>
          <w:color w:val="000000"/>
          <w:sz w:val="22"/>
          <w:szCs w:val="22"/>
          <w:shd w:fill="auto" w:val="clear"/>
          <w:lang w:eastAsia="pl-PL"/>
        </w:rPr>
        <w:t xml:space="preserve">  </w:t>
      </w:r>
      <w:r>
        <w:rPr>
          <w:rFonts w:eastAsia="Times New Roman"/>
          <w:color w:val="000000"/>
          <w:sz w:val="22"/>
          <w:szCs w:val="22"/>
          <w:shd w:fill="auto" w:val="clear"/>
          <w:lang w:eastAsia="pl-PL"/>
        </w:rPr>
        <w:t>-szerokości drzwi stanowiących wyjście ewakuacyjne z budynku,</w:t>
      </w:r>
    </w:p>
    <w:p>
      <w:pPr>
        <w:pStyle w:val="Normal"/>
        <w:spacing w:lineRule="auto" w:line="360" w:before="100" w:after="0"/>
        <w:ind w:hanging="0" w:left="0" w:right="0"/>
        <w:jc w:val="both"/>
        <w:rPr>
          <w:color w:val="000000"/>
        </w:rPr>
      </w:pPr>
      <w:r>
        <w:rPr>
          <w:rFonts w:eastAsia="Times New Roman"/>
          <w:color w:val="000000"/>
          <w:sz w:val="22"/>
          <w:szCs w:val="22"/>
          <w:shd w:fill="auto" w:val="clear"/>
          <w:lang w:eastAsia="pl-PL"/>
        </w:rPr>
        <w:t xml:space="preserve">  </w:t>
      </w:r>
      <w:r>
        <w:rPr>
          <w:rFonts w:eastAsia="Times New Roman"/>
          <w:color w:val="000000"/>
          <w:sz w:val="22"/>
          <w:szCs w:val="22"/>
          <w:shd w:fill="auto" w:val="clear"/>
          <w:lang w:eastAsia="pl-PL"/>
        </w:rPr>
        <w:t>-odległości miedzy zewnętrznymi ścianami tego samego budynku niebędącymi ścianami oddzielenia przeciwpożarowego,</w:t>
      </w:r>
    </w:p>
    <w:p>
      <w:pPr>
        <w:pStyle w:val="Normal"/>
        <w:spacing w:lineRule="auto" w:line="360" w:before="100" w:after="0"/>
        <w:ind w:hanging="0" w:left="0" w:right="0"/>
        <w:jc w:val="both"/>
        <w:rPr>
          <w:color w:val="000000"/>
        </w:rPr>
      </w:pPr>
      <w:r>
        <w:rPr>
          <w:rFonts w:eastAsia="Times New Roman"/>
          <w:color w:val="000000"/>
          <w:sz w:val="22"/>
          <w:szCs w:val="22"/>
          <w:shd w:fill="auto" w:val="clear"/>
          <w:lang w:eastAsia="pl-PL"/>
        </w:rPr>
        <w:t xml:space="preserve">  </w:t>
      </w:r>
      <w:r>
        <w:rPr>
          <w:rFonts w:eastAsia="Times New Roman"/>
          <w:color w:val="000000"/>
          <w:sz w:val="22"/>
          <w:szCs w:val="22"/>
          <w:shd w:fill="auto" w:val="clear"/>
          <w:lang w:eastAsia="pl-PL"/>
        </w:rPr>
        <w:t>-klasy odporności ogniowej ściany oddzielenia przeciwpożarowego oraz klasy odporności ogniowej zamknie otworów w ścianie oddzielenia przeciwpożarowego na granic stref pożarach,</w:t>
      </w:r>
    </w:p>
    <w:p>
      <w:pPr>
        <w:pStyle w:val="Normal"/>
        <w:spacing w:lineRule="auto" w:line="360" w:before="100" w:after="0"/>
        <w:ind w:hanging="0" w:left="0" w:right="0"/>
        <w:jc w:val="both"/>
        <w:rPr>
          <w:color w:val="000000"/>
        </w:rPr>
      </w:pPr>
      <w:r>
        <w:rPr>
          <w:rFonts w:eastAsia="Times New Roman"/>
          <w:color w:val="000000"/>
          <w:sz w:val="22"/>
          <w:szCs w:val="22"/>
          <w:shd w:fill="auto" w:val="clear"/>
          <w:lang w:eastAsia="pl-PL"/>
        </w:rPr>
        <w:t xml:space="preserve">  </w:t>
      </w:r>
      <w:r>
        <w:rPr>
          <w:rFonts w:eastAsia="Times New Roman"/>
          <w:color w:val="000000"/>
          <w:sz w:val="22"/>
          <w:szCs w:val="22"/>
          <w:shd w:fill="auto" w:val="clear"/>
          <w:lang w:eastAsia="pl-PL"/>
        </w:rPr>
        <w:t>-klasy reakcji na ogień ściany oddzielenia przeciwpożarowego,</w:t>
      </w:r>
    </w:p>
    <w:p>
      <w:pPr>
        <w:pStyle w:val="Normal"/>
        <w:spacing w:lineRule="auto" w:line="360" w:before="100" w:after="0"/>
        <w:ind w:hanging="0" w:left="0" w:right="0"/>
        <w:jc w:val="both"/>
        <w:rPr>
          <w:color w:val="000000"/>
        </w:rPr>
      </w:pPr>
      <w:r>
        <w:rPr>
          <w:rFonts w:eastAsia="Times New Roman"/>
          <w:color w:val="000000"/>
          <w:sz w:val="22"/>
          <w:szCs w:val="22"/>
          <w:shd w:fill="auto" w:val="clear"/>
          <w:lang w:eastAsia="pl-PL"/>
        </w:rPr>
        <w:t xml:space="preserve">  </w:t>
      </w:r>
      <w:r>
        <w:rPr>
          <w:rFonts w:eastAsia="Times New Roman"/>
          <w:color w:val="000000"/>
          <w:sz w:val="22"/>
          <w:szCs w:val="22"/>
          <w:shd w:fill="auto" w:val="clear"/>
          <w:lang w:eastAsia="pl-PL"/>
        </w:rPr>
        <w:t xml:space="preserve">-szerokości użytkowej schodów zewnętrznych </w:t>
      </w:r>
    </w:p>
    <w:p>
      <w:pPr>
        <w:pStyle w:val="Normal"/>
        <w:spacing w:lineRule="auto" w:line="360" w:before="100" w:after="0"/>
        <w:ind w:hanging="0" w:left="0" w:right="0"/>
        <w:jc w:val="both"/>
        <w:rPr>
          <w:color w:val="000000"/>
        </w:rPr>
      </w:pPr>
      <w:r>
        <w:rPr>
          <w:rFonts w:eastAsia="Times New Roman"/>
          <w:color w:val="000000"/>
          <w:sz w:val="22"/>
          <w:szCs w:val="22"/>
          <w:shd w:fill="auto" w:val="clear"/>
          <w:lang w:eastAsia="pl-PL"/>
        </w:rPr>
        <w:t xml:space="preserve">do budynku Zespołu Szkolno-Przedszkolnego w Galasowej zlokalizowanego przy ul. Karpackiej 21, 33-159 Zalasowa, </w:t>
      </w:r>
      <w:r>
        <w:rPr>
          <w:rFonts w:eastAsia="Times New Roman"/>
          <w:b/>
          <w:bCs/>
          <w:color w:val="000000"/>
          <w:sz w:val="22"/>
          <w:szCs w:val="22"/>
          <w:shd w:fill="auto" w:val="clear"/>
          <w:lang w:eastAsia="pl-PL"/>
        </w:rPr>
        <w:t>wyrażam zgodę,</w:t>
      </w:r>
      <w:r>
        <w:rPr>
          <w:rFonts w:eastAsia="Times New Roman"/>
          <w:color w:val="000000"/>
          <w:sz w:val="22"/>
          <w:szCs w:val="22"/>
          <w:shd w:fill="auto" w:val="clear"/>
          <w:lang w:eastAsia="pl-PL"/>
        </w:rPr>
        <w:t xml:space="preserve"> na zastosowanie rozwiązań zamiennych w stosunku do wymagań ochrony przeciwpożarowej wskazanych w § 68 ust. 1, § 239 ust. 1, 4 i 6, § 235 ust. 2, § 256 ust. 3, § 176 ust. 1, § 271 ust. 1 w związku z § 226 ust. 1, $ 232 ust. 1 oraz § 232 ust. 4 i 5 w związku z § 271 ust. 10 cyt. rozporządzenia Ministra Infrastruktury z dnia 12 kwietnia 2002 a. w sprawie warunków technicznych, jakim powinny odpowiadać budynki i ich usytuowanie, uzasadnionych w opracowaniu pn.: „Ekspertyza techniczna z zakresu ochrony przeciwpożarowej Zespołu Szkolno-Przedszkolnego w Galasowej ul. Karpacka 21, 33-159 Zalasowi." z września 2025 r. tj.:</w:t>
      </w:r>
    </w:p>
    <w:p>
      <w:pPr>
        <w:pStyle w:val="Normal"/>
        <w:spacing w:lineRule="auto" w:line="360" w:before="100" w:after="0"/>
        <w:ind w:hanging="0" w:left="0" w:right="0"/>
        <w:jc w:val="both"/>
        <w:rPr>
          <w:color w:val="000000"/>
        </w:rPr>
      </w:pPr>
      <w:r>
        <w:rPr>
          <w:rFonts w:eastAsia="Times New Roman"/>
          <w:color w:val="000000"/>
          <w:sz w:val="22"/>
          <w:szCs w:val="22"/>
          <w:shd w:fill="auto" w:val="clear"/>
          <w:lang w:eastAsia="pl-PL"/>
        </w:rPr>
        <w:t>1. Wyposażenie wszystkich pomieszczeń w budynku z wyłączeniem higieniczno-sanitarnych w autonomiczne czujki dymu z sygnalizatorem akustycznym. Instalacja zostanie zrealizowana na podstawie dokumentacji projektowej uzgodnionej z rzeczoznawca ds. zabezpieczeń przeciwpożarowych.</w:t>
      </w:r>
    </w:p>
    <w:p>
      <w:pPr>
        <w:pStyle w:val="Normal"/>
        <w:spacing w:lineRule="auto" w:line="360" w:before="100" w:after="0"/>
        <w:ind w:hanging="0" w:left="0" w:right="0"/>
        <w:jc w:val="both"/>
        <w:rPr>
          <w:color w:val="000000"/>
        </w:rPr>
      </w:pPr>
      <w:r>
        <w:rPr>
          <w:rFonts w:eastAsia="Times New Roman"/>
          <w:color w:val="000000"/>
          <w:sz w:val="22"/>
          <w:szCs w:val="22"/>
          <w:shd w:fill="auto" w:val="clear"/>
          <w:lang w:eastAsia="pl-PL"/>
        </w:rPr>
        <w:t>2. Przeprowadzanie co najmniej raz w roku szkolenia dla stałego personelu obiektu z zakresu zasad postępowania na wypadek powstania pożaru, szkolenia z użycia hydrantów i gaśnic oraz postępowania na wypadek konieczności ewakuacji ludzi z budynku wraz z praktycznymi ćwiczeniami realizowane przez osoby posiadające odpowiednie kwalifikacje do wykonywania czynności z zakresu ochrony przeciwpożarowej, poświadczone zaświadczeniem z ćwiczeń.</w:t>
      </w:r>
    </w:p>
    <w:p>
      <w:pPr>
        <w:pStyle w:val="Normal"/>
        <w:spacing w:lineRule="auto" w:line="360" w:before="100" w:after="0"/>
        <w:ind w:hanging="0" w:left="0" w:right="0"/>
        <w:jc w:val="both"/>
        <w:rPr>
          <w:color w:val="000000"/>
        </w:rPr>
      </w:pPr>
      <w:r>
        <w:rPr>
          <w:rFonts w:eastAsia="Times New Roman"/>
          <w:color w:val="000000"/>
          <w:sz w:val="22"/>
          <w:szCs w:val="22"/>
          <w:shd w:fill="auto" w:val="clear"/>
          <w:lang w:eastAsia="pl-PL"/>
        </w:rPr>
        <w:t>3. Zabezpieczenie techniczne kotłowni gazowej w następujący sposób:</w:t>
      </w:r>
    </w:p>
    <w:p>
      <w:pPr>
        <w:pStyle w:val="Normal"/>
        <w:spacing w:lineRule="auto" w:line="360" w:before="100" w:after="0"/>
        <w:ind w:hanging="0" w:left="0" w:right="0"/>
        <w:jc w:val="both"/>
        <w:rPr>
          <w:color w:val="000000"/>
        </w:rPr>
      </w:pPr>
      <w:r>
        <w:rPr>
          <w:rFonts w:eastAsia="Times New Roman"/>
          <w:color w:val="000000"/>
          <w:sz w:val="22"/>
          <w:szCs w:val="22"/>
          <w:shd w:fill="auto" w:val="clear"/>
          <w:lang w:eastAsia="pl-PL"/>
        </w:rPr>
        <w:t xml:space="preserve">  </w:t>
      </w:r>
      <w:r>
        <w:rPr>
          <w:rFonts w:eastAsia="Times New Roman"/>
          <w:color w:val="000000"/>
          <w:sz w:val="22"/>
          <w:szCs w:val="22"/>
          <w:shd w:fill="auto" w:val="clear"/>
          <w:lang w:eastAsia="pl-PL"/>
        </w:rPr>
        <w:t>-lokalizacja wydzielonego pomieszczenia przeznaczonego wyłącznie na kotłownię przy ścianie zewnętrznej z oknem i wejściem bezpośrednio z zewnątrz budynku,</w:t>
      </w:r>
    </w:p>
    <w:p>
      <w:pPr>
        <w:pStyle w:val="Normal"/>
        <w:spacing w:lineRule="auto" w:line="360" w:before="100" w:after="0"/>
        <w:ind w:hanging="0" w:left="0" w:right="0"/>
        <w:jc w:val="both"/>
        <w:rPr>
          <w:color w:val="000000"/>
        </w:rPr>
      </w:pPr>
      <w:r>
        <w:rPr>
          <w:rFonts w:eastAsia="Times New Roman"/>
          <w:color w:val="000000"/>
          <w:sz w:val="22"/>
          <w:szCs w:val="22"/>
          <w:shd w:fill="auto" w:val="clear"/>
          <w:lang w:eastAsia="pl-PL"/>
        </w:rPr>
        <w:t>zapewnienie drzwi wejściowych prowadzących z wnętrza budynku do kotłowni, o klasie odporności ogniowej co najmniej El 60, otwieranych na zewnątrz kotłowni, z zamknięciem bez klamkowym od wewnątrz kotłowni, otwierających się z kotłowni pod naciskiem,</w:t>
      </w:r>
    </w:p>
    <w:p>
      <w:pPr>
        <w:pStyle w:val="Normal"/>
        <w:spacing w:lineRule="auto" w:line="360" w:before="100" w:after="0"/>
        <w:ind w:hanging="0" w:left="0" w:right="0"/>
        <w:jc w:val="both"/>
        <w:rPr>
          <w:color w:val="000000"/>
        </w:rPr>
      </w:pPr>
      <w:r>
        <w:rPr>
          <w:rFonts w:eastAsia="Times New Roman"/>
          <w:color w:val="000000"/>
          <w:sz w:val="22"/>
          <w:szCs w:val="22"/>
          <w:shd w:fill="auto" w:val="clear"/>
          <w:lang w:eastAsia="pl-PL"/>
        </w:rPr>
        <w:t xml:space="preserve">  </w:t>
      </w:r>
      <w:r>
        <w:rPr>
          <w:rFonts w:eastAsia="Times New Roman"/>
          <w:color w:val="000000"/>
          <w:sz w:val="22"/>
          <w:szCs w:val="22"/>
          <w:shd w:fill="auto" w:val="clear"/>
          <w:lang w:eastAsia="pl-PL"/>
        </w:rPr>
        <w:t>-wyposażenie pomieszczenia kotłowni w oprawy oświetleniowe o stopniu ochrony IP-65</w:t>
      </w:r>
    </w:p>
    <w:p>
      <w:pPr>
        <w:pStyle w:val="Normal"/>
        <w:spacing w:lineRule="auto" w:line="360" w:before="100" w:after="0"/>
        <w:ind w:hanging="0" w:left="0" w:right="0"/>
        <w:jc w:val="both"/>
        <w:rPr>
          <w:color w:val="000000"/>
        </w:rPr>
      </w:pPr>
      <w:r>
        <w:rPr>
          <w:rFonts w:eastAsia="Times New Roman"/>
          <w:color w:val="000000"/>
          <w:sz w:val="22"/>
          <w:szCs w:val="22"/>
          <w:shd w:fill="auto" w:val="clear"/>
          <w:lang w:eastAsia="pl-PL"/>
        </w:rPr>
        <w:t xml:space="preserve"> </w:t>
      </w:r>
      <w:r>
        <w:rPr>
          <w:rFonts w:eastAsia="Times New Roman"/>
          <w:color w:val="000000"/>
          <w:sz w:val="22"/>
          <w:szCs w:val="22"/>
          <w:shd w:fill="auto" w:val="clear"/>
          <w:lang w:eastAsia="pl-PL"/>
        </w:rPr>
        <w:t>-wyposażenie pomieszczenia kotłowni w system wykrywania gazu połączony z sygnalizatorem akustycznym działającym w przypadku przekroczenia stężenia gazu odpowiadającego 10% dolnej granicy wybuchowości oraz zaworem automatycznie odcinającym dopływ gazu,</w:t>
      </w:r>
    </w:p>
    <w:p>
      <w:pPr>
        <w:pStyle w:val="Normal"/>
        <w:spacing w:lineRule="auto" w:line="360" w:before="100" w:after="0"/>
        <w:ind w:hanging="0" w:left="0" w:right="0"/>
        <w:jc w:val="both"/>
        <w:rPr>
          <w:color w:val="000000"/>
        </w:rPr>
      </w:pPr>
      <w:r>
        <w:rPr>
          <w:rFonts w:eastAsia="Times New Roman"/>
          <w:color w:val="000000"/>
          <w:sz w:val="22"/>
          <w:szCs w:val="22"/>
          <w:shd w:fill="auto" w:val="clear"/>
          <w:lang w:eastAsia="pl-PL"/>
        </w:rPr>
        <w:t xml:space="preserve">  </w:t>
      </w:r>
      <w:r>
        <w:rPr>
          <w:rFonts w:eastAsia="Times New Roman"/>
          <w:color w:val="000000"/>
          <w:sz w:val="22"/>
          <w:szCs w:val="22"/>
          <w:shd w:fill="auto" w:val="clear"/>
          <w:lang w:eastAsia="pl-PL"/>
        </w:rPr>
        <w:t>-nie prowadzenie przewodów gazowych przez inne pomieszczenia kondygnacji podziemnej.</w:t>
      </w:r>
    </w:p>
    <w:p>
      <w:pPr>
        <w:pStyle w:val="Normal"/>
        <w:spacing w:lineRule="auto" w:line="360" w:before="100" w:after="0"/>
        <w:ind w:hanging="0" w:left="0" w:right="0"/>
        <w:jc w:val="both"/>
        <w:rPr>
          <w:color w:val="000000"/>
        </w:rPr>
      </w:pPr>
      <w:r>
        <w:rPr>
          <w:rFonts w:eastAsia="Times New Roman"/>
          <w:color w:val="000000"/>
          <w:sz w:val="22"/>
          <w:szCs w:val="22"/>
          <w:shd w:fill="auto" w:val="clear"/>
          <w:lang w:eastAsia="pl-PL"/>
        </w:rPr>
        <w:t>4. Zwiększenie o 100%, w stosunku do obowiązujących wymagań, jednej jednostki masy środka gaśniczego zawartego w gaśnicach przypadającego na każde 100m2 powierzchni strefy pożarowej.</w:t>
      </w:r>
    </w:p>
    <w:p>
      <w:pPr>
        <w:pStyle w:val="Normal"/>
        <w:spacing w:lineRule="auto" w:line="360" w:before="100" w:after="0"/>
        <w:ind w:hanging="0" w:left="0" w:right="0"/>
        <w:jc w:val="both"/>
        <w:rPr>
          <w:color w:val="000000"/>
        </w:rPr>
      </w:pPr>
      <w:r>
        <w:rPr>
          <w:rFonts w:eastAsia="Times New Roman"/>
          <w:color w:val="000000"/>
          <w:sz w:val="22"/>
          <w:szCs w:val="22"/>
          <w:shd w:fill="auto" w:val="clear"/>
          <w:lang w:eastAsia="pl-PL"/>
        </w:rPr>
        <w:t>5. Zapewnienie do budynku drogi pożarowej w sposób wskazany w części graficznej ekspertyzy technicznej.</w:t>
      </w:r>
    </w:p>
    <w:p>
      <w:pPr>
        <w:pStyle w:val="Normal"/>
        <w:spacing w:lineRule="auto" w:line="360" w:before="100" w:after="0"/>
        <w:ind w:hanging="0" w:left="0" w:right="0"/>
        <w:jc w:val="both"/>
        <w:rPr>
          <w:color w:val="000000"/>
        </w:rPr>
      </w:pPr>
      <w:r>
        <w:rPr>
          <w:color w:val="000000"/>
        </w:rPr>
      </w:r>
    </w:p>
    <w:p>
      <w:pPr>
        <w:pStyle w:val="Normal"/>
        <w:spacing w:lineRule="auto" w:line="360" w:before="100" w:after="0"/>
        <w:ind w:hanging="0" w:left="0" w:right="0"/>
        <w:jc w:val="both"/>
        <w:rPr>
          <w:color w:val="000000"/>
        </w:rPr>
      </w:pPr>
      <w:r>
        <w:rPr>
          <w:rFonts w:eastAsia="Times New Roman"/>
          <w:color w:val="000000"/>
          <w:sz w:val="22"/>
          <w:szCs w:val="22"/>
          <w:shd w:fill="auto" w:val="clear"/>
          <w:lang w:eastAsia="pl-PL"/>
        </w:rPr>
        <w:t xml:space="preserve">Wszystkie prace objęte niniejszym projektem należy wykonać ściśle wg. </w:t>
      </w:r>
      <w:r>
        <w:rPr>
          <w:rFonts w:eastAsia="Times New Roman"/>
          <w:i/>
          <w:iCs/>
          <w:color w:val="000000"/>
          <w:sz w:val="22"/>
          <w:szCs w:val="22"/>
          <w:shd w:fill="auto" w:val="clear"/>
          <w:lang w:eastAsia="pl-PL"/>
        </w:rPr>
        <w:t>Warunków Technicznych oraz obowiązujących Polskich Norm</w:t>
      </w:r>
      <w:r>
        <w:rPr>
          <w:rFonts w:eastAsia="Times New Roman"/>
          <w:color w:val="000000"/>
          <w:sz w:val="22"/>
          <w:szCs w:val="22"/>
          <w:shd w:fill="auto" w:val="clear"/>
          <w:lang w:eastAsia="pl-PL"/>
        </w:rPr>
        <w:t xml:space="preserve">, pod fachowym nadzorem technicznym ze strony osoby posiadającej odpowiednie uprawnienia budowlane. Przed wykonaniem bądź zamówieniem elementów indywidualnych wykonawca musi sprawdzić ich wymiary na budowie. Wszystkie ewentualne odstępstwa od dokumentacji muszą zostać uzgodnione przez </w:t>
      </w:r>
      <w:r>
        <w:rPr>
          <w:rFonts w:eastAsia="Times New Roman"/>
          <w:i/>
          <w:iCs/>
          <w:color w:val="000000"/>
          <w:sz w:val="22"/>
          <w:szCs w:val="22"/>
          <w:shd w:fill="auto" w:val="clear"/>
          <w:lang w:eastAsia="pl-PL"/>
        </w:rPr>
        <w:t>Głównego Projektanta</w:t>
      </w:r>
      <w:r>
        <w:rPr>
          <w:rFonts w:eastAsia="Times New Roman"/>
          <w:color w:val="000000"/>
          <w:sz w:val="22"/>
          <w:szCs w:val="22"/>
          <w:shd w:fill="auto" w:val="clear"/>
          <w:lang w:eastAsia="pl-PL"/>
        </w:rPr>
        <w:t>. Materiały, osprzęt, wyposażenie itp., których producenta wskazano w opisie standardu mogą być zastąpione materiałami, osprzętem, wyposażeniem, itp. o analogicznej klasie ale innego producenta. Wszystkie materiały budowlane, instalacyjne i wykończeniowe powinny posiadać aprobatę (certyfikaty, atesty) pod kątem dopuszczenia do stosowania w obrębie budownictwa użyteczności publicznej.</w:t>
      </w:r>
    </w:p>
    <w:p>
      <w:pPr>
        <w:pStyle w:val="Normal"/>
        <w:spacing w:lineRule="auto" w:line="360" w:before="0" w:after="0"/>
        <w:ind w:hanging="0" w:left="0" w:right="0"/>
        <w:rPr>
          <w:color w:val="000000"/>
        </w:rPr>
      </w:pPr>
      <w:r>
        <w:rPr>
          <w:color w:val="000000"/>
          <w:sz w:val="22"/>
          <w:szCs w:val="22"/>
          <w:shd w:fill="auto" w:val="clear"/>
        </w:rPr>
        <w:t>Wszystkie rysunki należy rozpatrywań równolegle z opisem.</w:t>
      </w:r>
    </w:p>
    <w:p>
      <w:pPr>
        <w:pStyle w:val="Normal"/>
        <w:spacing w:lineRule="auto" w:line="360" w:before="0" w:after="0"/>
        <w:ind w:firstLine="708" w:left="0" w:right="0"/>
        <w:rPr>
          <w:rFonts w:ascii="Times New Roman" w:hAnsi="Times New Roman"/>
          <w:color w:val="000000"/>
          <w:sz w:val="22"/>
          <w:szCs w:val="22"/>
          <w:shd w:fill="auto" w:val="clear"/>
        </w:rPr>
      </w:pPr>
      <w:r>
        <w:rPr>
          <w:color w:val="000000"/>
          <w:sz w:val="22"/>
          <w:szCs w:val="22"/>
          <w:shd w:fill="auto" w:val="clear"/>
        </w:rPr>
      </w:r>
    </w:p>
    <w:p>
      <w:pPr>
        <w:pStyle w:val="Normal"/>
        <w:spacing w:lineRule="auto" w:line="360" w:before="0" w:after="0"/>
        <w:ind w:hanging="0" w:left="0" w:right="0"/>
        <w:rPr>
          <w:rFonts w:ascii="Times New Roman" w:hAnsi="Times New Roman"/>
          <w:color w:val="000000"/>
          <w:shd w:fill="auto" w:val="clear"/>
        </w:rPr>
      </w:pPr>
      <w:r>
        <w:rPr>
          <w:color w:val="000000"/>
          <w:shd w:fill="auto" w:val="clear"/>
        </w:rPr>
      </w:r>
    </w:p>
    <w:sectPr>
      <w:footerReference w:type="even" r:id="rId4"/>
      <w:footerReference w:type="default" r:id="rId5"/>
      <w:footerReference w:type="first" r:id="rId6"/>
      <w:type w:val="nextPage"/>
      <w:pgSz w:w="11906" w:h="16838"/>
      <w:pgMar w:left="1422" w:right="1422" w:gutter="0" w:header="0" w:top="1423" w:footer="713" w:bottom="856"/>
      <w:pgBorders w:display="allPages" w:offsetFrom="page">
        <w:top w:val="single" w:sz="2" w:space="24" w:color="00000A"/>
        <w:left w:val="single" w:sz="2" w:space="24" w:color="00000A"/>
        <w:bottom w:val="single" w:sz="2" w:space="24" w:color="00000A"/>
        <w:right w:val="single" w:sz="2" w:space="24" w:color="00000A"/>
      </w:pgBorders>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Cambria">
    <w:charset w:val="ee"/>
    <w:family w:val="roman"/>
    <w:pitch w:val="variable"/>
  </w:font>
  <w:font w:name="Tahoma">
    <w:charset w:val="ee"/>
    <w:family w:val="roman"/>
    <w:pitch w:val="variable"/>
  </w:font>
  <w:font w:name="OpenSymbol">
    <w:altName w:val="Arial Unicode MS"/>
    <w:charset w:val="ee"/>
    <w:family w:val="roman"/>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Arial">
    <w:charset w:val="ee"/>
    <w:family w:val="swiss"/>
    <w:pitch w:val="variable"/>
  </w:font>
  <w:font w:name="OpenSymbol">
    <w:altName w:val="Arial Unicode MS"/>
    <w:charset w:val="02"/>
    <w:family w:val="auto"/>
    <w:pitch w:val="default"/>
  </w:font>
  <w:font w:name="Liberation Sans">
    <w:altName w:val="Arial"/>
    <w:charset w:val="ee"/>
    <w:family w:val="swiss"/>
    <w:pitch w:val="variable"/>
  </w:font>
  <w:font w:name="Liberation Sans">
    <w:altName w:val="Arial"/>
    <w:charset w:val="ee"/>
    <w:family w:val="roman"/>
    <w:pitch w:val="variable"/>
  </w:font>
  <w:font w:name="Helvetica">
    <w:altName w:val="Arial"/>
    <w:charset w:val="ee"/>
    <w:family w:val="roman"/>
    <w:pitch w:val="variable"/>
  </w:font>
  <w:font w:name="Symbol">
    <w:charset w:val="02"/>
    <w:family w:val="auto"/>
    <w:pitch w:val="default"/>
  </w:font>
  <w:font w:name="Courier New">
    <w:charset w:val="01"/>
    <w:family w:val="modern"/>
    <w:pitch w:val="fixed"/>
  </w:font>
  <w:font w:name="Wingdings">
    <w:charset w:val="02"/>
    <w:family w:val="auto"/>
    <w:pitch w:val="variable"/>
  </w:font>
  <w:font w:name="Arial">
    <w:charset w:val="01"/>
    <w:family w:val="swiss"/>
    <w:pitch w:val="variable"/>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hanging="0" w:left="0"/>
      <w:jc w:val="right"/>
      <w:rPr/>
    </w:pPr>
    <w:r>
      <w:rPr/>
      <w:fldChar w:fldCharType="begin"/>
    </w:r>
    <w:r>
      <w:rPr/>
      <w:instrText xml:space="preserve"> PAGE </w:instrText>
    </w:r>
    <w:r>
      <w:rPr/>
      <w:fldChar w:fldCharType="separate"/>
    </w:r>
    <w:r>
      <w:rPr/>
      <w:t>35</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hanging="0" w:left="0"/>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pStyle w:val="Heading1"/>
      <w:lvlText w:val="%1."/>
      <w:lvlJc w:val="left"/>
      <w:pPr>
        <w:tabs>
          <w:tab w:val="num" w:pos="720"/>
        </w:tabs>
        <w:ind w:left="720" w:hanging="360"/>
      </w:pPr>
      <w:rPr/>
    </w:lvl>
    <w:lvl w:ilvl="1">
      <w:start w:val="1"/>
      <w:numFmt w:val="decimal"/>
      <w:pStyle w:val="Heading2"/>
      <w:lvlText w:val="%1.%2."/>
      <w:lvlJc w:val="left"/>
      <w:pPr>
        <w:tabs>
          <w:tab w:val="num" w:pos="1080"/>
        </w:tabs>
        <w:ind w:left="1080" w:hanging="360"/>
      </w:pPr>
      <w:rPr/>
    </w:lvl>
    <w:lvl w:ilvl="2">
      <w:start w:val="1"/>
      <w:numFmt w:val="lowerLetter"/>
      <w:pStyle w:val="Heading3"/>
      <w:lvlText w:val="%3)"/>
      <w:lvlJc w:val="left"/>
      <w:pPr>
        <w:tabs>
          <w:tab w:val="num" w:pos="1440"/>
        </w:tabs>
        <w:ind w:left="1440" w:hanging="360"/>
      </w:pPr>
      <w:rPr/>
    </w:lvl>
    <w:lvl w:ilvl="3">
      <w:start w:val="1"/>
      <w:numFmt w:val="bullet"/>
      <w:pStyle w:val="Heading4"/>
      <w:lvlText w:val=""/>
      <w:lvlJc w:val="left"/>
      <w:pPr>
        <w:tabs>
          <w:tab w:val="num" w:pos="1800"/>
        </w:tabs>
        <w:ind w:left="1800" w:hanging="360"/>
      </w:pPr>
      <w:rPr>
        <w:rFonts w:ascii="Symbol" w:hAnsi="Symbol" w:cs="Symbol" w:hint="default"/>
      </w:rPr>
    </w:lvl>
    <w:lvl w:ilvl="4">
      <w:start w:val="1"/>
      <w:numFmt w:val="bullet"/>
      <w:pStyle w:val="Heading5"/>
      <w:lvlText w:val=""/>
      <w:lvlJc w:val="left"/>
      <w:pPr>
        <w:tabs>
          <w:tab w:val="num" w:pos="2160"/>
        </w:tabs>
        <w:ind w:left="2160" w:hanging="360"/>
      </w:pPr>
      <w:rPr>
        <w:rFonts w:ascii="Symbol" w:hAnsi="Symbol" w:cs="Symbol" w:hint="default"/>
      </w:rPr>
    </w:lvl>
    <w:lvl w:ilvl="5">
      <w:start w:val="1"/>
      <w:numFmt w:val="bullet"/>
      <w:pStyle w:val="Heading6"/>
      <w:lvlText w:val=""/>
      <w:lvlJc w:val="left"/>
      <w:pPr>
        <w:tabs>
          <w:tab w:val="num" w:pos="2520"/>
        </w:tabs>
        <w:ind w:left="2520" w:hanging="360"/>
      </w:pPr>
      <w:rPr>
        <w:rFonts w:ascii="Symbol" w:hAnsi="Symbol" w:cs="Symbol" w:hint="default"/>
      </w:rPr>
    </w:lvl>
    <w:lvl w:ilvl="6">
      <w:start w:val="1"/>
      <w:numFmt w:val="bullet"/>
      <w:pStyle w:val="Heading7"/>
      <w:lvlText w:val=""/>
      <w:lvlJc w:val="left"/>
      <w:pPr>
        <w:tabs>
          <w:tab w:val="num" w:pos="2880"/>
        </w:tabs>
        <w:ind w:left="2880" w:hanging="360"/>
      </w:pPr>
      <w:rPr>
        <w:rFonts w:ascii="Symbol" w:hAnsi="Symbol" w:cs="Symbol" w:hint="default"/>
      </w:rPr>
    </w:lvl>
    <w:lvl w:ilvl="7">
      <w:start w:val="1"/>
      <w:numFmt w:val="bullet"/>
      <w:pStyle w:val="Heading8"/>
      <w:lvlText w:val=""/>
      <w:lvlJc w:val="left"/>
      <w:pPr>
        <w:tabs>
          <w:tab w:val="num" w:pos="3240"/>
        </w:tabs>
        <w:ind w:left="3240" w:hanging="360"/>
      </w:pPr>
      <w:rPr>
        <w:rFonts w:ascii="Symbol" w:hAnsi="Symbol" w:cs="Symbol" w:hint="default"/>
      </w:rPr>
    </w:lvl>
    <w:lvl w:ilvl="8">
      <w:start w:val="1"/>
      <w:numFmt w:val="bullet"/>
      <w:pStyle w:val="Heading9"/>
      <w:lvlText w:val=""/>
      <w:lvlJc w:val="left"/>
      <w:pPr>
        <w:tabs>
          <w:tab w:val="num" w:pos="3600"/>
        </w:tabs>
        <w:ind w:left="3600" w:hanging="360"/>
      </w:pPr>
      <w:rPr>
        <w:rFonts w:ascii="Symbol" w:hAnsi="Symbol" w:cs="Symbol" w:hint="default"/>
      </w:rPr>
    </w:lvl>
  </w:abstractNum>
  <w:abstractNum w:abstractNumId="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lvl w:ilvl="0">
      <w:start w:val="1"/>
      <w:numFmt w:val="decimal"/>
      <w:lvlText w:val="%1."/>
      <w:lvlJc w:val="left"/>
      <w:pPr>
        <w:tabs>
          <w:tab w:val="num" w:pos="0"/>
        </w:tabs>
        <w:ind w:left="800" w:hanging="280"/>
      </w:pPr>
      <w:rPr>
        <w:rFonts w:ascii="Arial" w:hAnsi="Arial" w:eastAsia="Arial" w:cs="Arial"/>
        <w:b w:val="false"/>
        <w:bCs w:val="false"/>
        <w:i w:val="false"/>
        <w:iCs w:val="false"/>
        <w:color w:val="010101"/>
        <w:spacing w:val="-1"/>
        <w:w w:val="103"/>
        <w:sz w:val="23"/>
        <w:szCs w:val="23"/>
        <w:lang w:val="pl-PL" w:eastAsia="en-US" w:bidi="ar-SA"/>
      </w:rPr>
    </w:lvl>
    <w:lvl w:ilvl="1">
      <w:start w:val="1"/>
      <w:numFmt w:val="bullet"/>
      <w:lvlText w:val="-"/>
      <w:lvlJc w:val="left"/>
      <w:pPr>
        <w:tabs>
          <w:tab w:val="num" w:pos="0"/>
        </w:tabs>
        <w:ind w:left="801" w:hanging="286"/>
      </w:pPr>
      <w:rPr>
        <w:rFonts w:ascii="Arial" w:hAnsi="Arial" w:cs="Arial" w:hint="default"/>
        <w:spacing w:val="0"/>
        <w:w w:val="107"/>
        <w:lang w:val="pl-PL" w:eastAsia="en-US" w:bidi="ar-SA"/>
      </w:rPr>
    </w:lvl>
    <w:lvl w:ilvl="2">
      <w:start w:val="1"/>
      <w:numFmt w:val="bullet"/>
      <w:lvlText w:val=""/>
      <w:lvlJc w:val="left"/>
      <w:pPr>
        <w:tabs>
          <w:tab w:val="num" w:pos="0"/>
        </w:tabs>
        <w:ind w:left="2134" w:hanging="286"/>
      </w:pPr>
      <w:rPr>
        <w:rFonts w:ascii="Symbol" w:hAnsi="Symbol" w:cs="Symbol" w:hint="default"/>
        <w:lang w:val="pl-PL" w:eastAsia="en-US" w:bidi="ar-SA"/>
      </w:rPr>
    </w:lvl>
    <w:lvl w:ilvl="3">
      <w:start w:val="1"/>
      <w:numFmt w:val="bullet"/>
      <w:lvlText w:val=""/>
      <w:lvlJc w:val="left"/>
      <w:pPr>
        <w:tabs>
          <w:tab w:val="num" w:pos="0"/>
        </w:tabs>
        <w:ind w:left="3188" w:hanging="286"/>
      </w:pPr>
      <w:rPr>
        <w:rFonts w:ascii="Symbol" w:hAnsi="Symbol" w:cs="Symbol" w:hint="default"/>
        <w:lang w:val="pl-PL" w:eastAsia="en-US" w:bidi="ar-SA"/>
      </w:rPr>
    </w:lvl>
    <w:lvl w:ilvl="4">
      <w:start w:val="1"/>
      <w:numFmt w:val="bullet"/>
      <w:lvlText w:val=""/>
      <w:lvlJc w:val="left"/>
      <w:pPr>
        <w:tabs>
          <w:tab w:val="num" w:pos="0"/>
        </w:tabs>
        <w:ind w:left="4242" w:hanging="286"/>
      </w:pPr>
      <w:rPr>
        <w:rFonts w:ascii="Symbol" w:hAnsi="Symbol" w:cs="Symbol" w:hint="default"/>
        <w:lang w:val="pl-PL" w:eastAsia="en-US" w:bidi="ar-SA"/>
      </w:rPr>
    </w:lvl>
    <w:lvl w:ilvl="5">
      <w:start w:val="1"/>
      <w:numFmt w:val="bullet"/>
      <w:lvlText w:val=""/>
      <w:lvlJc w:val="left"/>
      <w:pPr>
        <w:tabs>
          <w:tab w:val="num" w:pos="0"/>
        </w:tabs>
        <w:ind w:left="5296" w:hanging="286"/>
      </w:pPr>
      <w:rPr>
        <w:rFonts w:ascii="Symbol" w:hAnsi="Symbol" w:cs="Symbol" w:hint="default"/>
        <w:lang w:val="pl-PL" w:eastAsia="en-US" w:bidi="ar-SA"/>
      </w:rPr>
    </w:lvl>
    <w:lvl w:ilvl="6">
      <w:start w:val="1"/>
      <w:numFmt w:val="bullet"/>
      <w:lvlText w:val=""/>
      <w:lvlJc w:val="left"/>
      <w:pPr>
        <w:tabs>
          <w:tab w:val="num" w:pos="0"/>
        </w:tabs>
        <w:ind w:left="6350" w:hanging="286"/>
      </w:pPr>
      <w:rPr>
        <w:rFonts w:ascii="Symbol" w:hAnsi="Symbol" w:cs="Symbol" w:hint="default"/>
        <w:lang w:val="pl-PL" w:eastAsia="en-US" w:bidi="ar-SA"/>
      </w:rPr>
    </w:lvl>
    <w:lvl w:ilvl="7">
      <w:start w:val="1"/>
      <w:numFmt w:val="bullet"/>
      <w:lvlText w:val=""/>
      <w:lvlJc w:val="left"/>
      <w:pPr>
        <w:tabs>
          <w:tab w:val="num" w:pos="0"/>
        </w:tabs>
        <w:ind w:left="7404" w:hanging="286"/>
      </w:pPr>
      <w:rPr>
        <w:rFonts w:ascii="Symbol" w:hAnsi="Symbol" w:cs="Symbol" w:hint="default"/>
        <w:lang w:val="pl-PL" w:eastAsia="en-US" w:bidi="ar-SA"/>
      </w:rPr>
    </w:lvl>
    <w:lvl w:ilvl="8">
      <w:start w:val="1"/>
      <w:numFmt w:val="bullet"/>
      <w:lvlText w:val=""/>
      <w:lvlJc w:val="left"/>
      <w:pPr>
        <w:tabs>
          <w:tab w:val="num" w:pos="0"/>
        </w:tabs>
        <w:ind w:left="8458" w:hanging="286"/>
      </w:pPr>
      <w:rPr>
        <w:rFonts w:ascii="Symbol" w:hAnsi="Symbol" w:cs="Symbol" w:hint="default"/>
        <w:lang w:val="pl-PL" w:eastAsia="en-US" w:bidi="ar-SA"/>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7">
    <w:lvl w:ilvl="0">
      <w:start w:val="1"/>
      <w:numFmt w:val="decimal"/>
      <w:lvlText w:val="%1."/>
      <w:lvlJc w:val="left"/>
      <w:pPr>
        <w:tabs>
          <w:tab w:val="num" w:pos="0"/>
        </w:tabs>
        <w:ind w:left="803" w:hanging="282"/>
      </w:pPr>
      <w:rPr>
        <w:rFonts w:ascii="Times New Roman" w:hAnsi="Times New Roman" w:eastAsia="Arial" w:cs="Arial"/>
        <w:b w:val="false"/>
        <w:bCs w:val="false"/>
        <w:i w:val="false"/>
        <w:iCs w:val="false"/>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false"/>
        <w:bCs w:val="false"/>
        <w:i w:val="false"/>
        <w:iCs w:val="false"/>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8">
    <w:lvl w:ilvl="0">
      <w:start w:val="1"/>
      <w:numFmt w:val="decimal"/>
      <w:lvlText w:val="%1."/>
      <w:lvlJc w:val="left"/>
      <w:pPr>
        <w:tabs>
          <w:tab w:val="num" w:pos="0"/>
        </w:tabs>
        <w:ind w:left="803" w:hanging="282"/>
      </w:pPr>
      <w:rPr>
        <w:rFonts w:ascii="Times New Roman" w:hAnsi="Times New Roman" w:eastAsia="Arial" w:cs="Arial"/>
        <w:b w:val="false"/>
        <w:bCs w:val="false"/>
        <w:i w:val="false"/>
        <w:iCs w:val="false"/>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false"/>
        <w:bCs w:val="false"/>
        <w:i w:val="false"/>
        <w:iCs w:val="false"/>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9">
    <w:lvl w:ilvl="0">
      <w:start w:val="1"/>
      <w:numFmt w:val="lowerLetter"/>
      <w:lvlText w:val="%1)"/>
      <w:lvlJc w:val="left"/>
      <w:pPr>
        <w:tabs>
          <w:tab w:val="num" w:pos="0"/>
        </w:tabs>
        <w:ind w:left="803" w:hanging="282"/>
      </w:pPr>
      <w:rPr/>
    </w:lvl>
    <w:lvl w:ilvl="1">
      <w:start w:val="1"/>
      <w:numFmt w:val="bullet"/>
      <w:lvlText w:val="-"/>
      <w:lvlJc w:val="left"/>
      <w:pPr>
        <w:tabs>
          <w:tab w:val="num" w:pos="0"/>
        </w:tabs>
        <w:ind w:left="1084" w:hanging="288"/>
      </w:pPr>
      <w:rPr>
        <w:rFonts w:ascii="Arial" w:hAnsi="Arial" w:cs="Arial" w:hint="default"/>
        <w:b w:val="false"/>
        <w:bCs w:val="false"/>
        <w:i w:val="false"/>
        <w:iCs w:val="false"/>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10">
    <w:lvl w:ilvl="0">
      <w:start w:val="1"/>
      <w:numFmt w:val="lowerLetter"/>
      <w:lvlText w:val="%1)"/>
      <w:lvlJc w:val="left"/>
      <w:pPr>
        <w:tabs>
          <w:tab w:val="num" w:pos="0"/>
        </w:tabs>
        <w:ind w:left="803" w:hanging="282"/>
      </w:pPr>
      <w:rPr/>
    </w:lvl>
    <w:lvl w:ilvl="1">
      <w:start w:val="1"/>
      <w:numFmt w:val="bullet"/>
      <w:lvlText w:val="-"/>
      <w:lvlJc w:val="left"/>
      <w:pPr>
        <w:tabs>
          <w:tab w:val="num" w:pos="0"/>
        </w:tabs>
        <w:ind w:left="1084" w:hanging="288"/>
      </w:pPr>
      <w:rPr>
        <w:rFonts w:ascii="Arial" w:hAnsi="Arial" w:cs="Arial" w:hint="default"/>
        <w:b w:val="false"/>
        <w:bCs w:val="false"/>
        <w:i w:val="false"/>
        <w:iCs w:val="false"/>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11">
    <w:lvl w:ilvl="0">
      <w:start w:val="1"/>
      <w:numFmt w:val="decimal"/>
      <w:lvlText w:val="%1."/>
      <w:lvlJc w:val="left"/>
      <w:pPr>
        <w:tabs>
          <w:tab w:val="num" w:pos="0"/>
        </w:tabs>
        <w:ind w:left="803" w:hanging="282"/>
      </w:pPr>
      <w:rPr>
        <w:rFonts w:ascii="Times New Roman" w:hAnsi="Times New Roman" w:eastAsia="Arial" w:cs="Arial"/>
        <w:b w:val="false"/>
        <w:bCs w:val="false"/>
        <w:i w:val="false"/>
        <w:iCs w:val="false"/>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false"/>
        <w:bCs w:val="false"/>
        <w:i w:val="false"/>
        <w:iCs w:val="false"/>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12">
    <w:lvl w:ilvl="0">
      <w:start w:val="1"/>
      <w:numFmt w:val="decimal"/>
      <w:lvlText w:val="%1."/>
      <w:lvlJc w:val="left"/>
      <w:pPr>
        <w:tabs>
          <w:tab w:val="num" w:pos="0"/>
        </w:tabs>
        <w:ind w:left="803" w:hanging="282"/>
      </w:pPr>
      <w:rPr>
        <w:rFonts w:ascii="Times New Roman" w:hAnsi="Times New Roman" w:eastAsia="Arial" w:cs="Arial"/>
        <w:b w:val="false"/>
        <w:bCs w:val="false"/>
        <w:i w:val="false"/>
        <w:iCs w:val="false"/>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false"/>
        <w:bCs w:val="false"/>
        <w:i w:val="false"/>
        <w:iCs w:val="false"/>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13">
    <w:lvl w:ilvl="0">
      <w:start w:val="1"/>
      <w:numFmt w:val="decimal"/>
      <w:lvlText w:val="%1."/>
      <w:lvlJc w:val="left"/>
      <w:pPr>
        <w:tabs>
          <w:tab w:val="num" w:pos="0"/>
        </w:tabs>
        <w:ind w:left="803" w:hanging="282"/>
      </w:pPr>
      <w:rPr>
        <w:rFonts w:ascii="Times New Roman" w:hAnsi="Times New Roman" w:eastAsia="Arial" w:cs="Arial"/>
        <w:b w:val="false"/>
        <w:bCs w:val="false"/>
        <w:i w:val="false"/>
        <w:iCs w:val="false"/>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false"/>
        <w:bCs w:val="false"/>
        <w:i w:val="false"/>
        <w:iCs w:val="false"/>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14">
    <w:lvl w:ilvl="0">
      <w:start w:val="1"/>
      <w:numFmt w:val="decimal"/>
      <w:lvlText w:val="%1."/>
      <w:lvlJc w:val="left"/>
      <w:pPr>
        <w:tabs>
          <w:tab w:val="num" w:pos="0"/>
        </w:tabs>
        <w:ind w:left="803" w:hanging="282"/>
      </w:pPr>
      <w:rPr>
        <w:rFonts w:ascii="Times New Roman" w:hAnsi="Times New Roman" w:eastAsia="Arial" w:cs="Arial"/>
        <w:b w:val="false"/>
        <w:bCs w:val="false"/>
        <w:i w:val="false"/>
        <w:iCs w:val="false"/>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false"/>
        <w:bCs w:val="false"/>
        <w:i w:val="false"/>
        <w:iCs w:val="false"/>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15">
    <w:lvl w:ilvl="0">
      <w:start w:val="1"/>
      <w:numFmt w:val="decimal"/>
      <w:lvlText w:val="%1."/>
      <w:lvlJc w:val="left"/>
      <w:pPr>
        <w:tabs>
          <w:tab w:val="num" w:pos="0"/>
        </w:tabs>
        <w:ind w:left="803" w:hanging="282"/>
      </w:pPr>
      <w:rPr>
        <w:rFonts w:ascii="Times New Roman" w:hAnsi="Times New Roman" w:eastAsia="Arial" w:cs="Arial"/>
        <w:b w:val="false"/>
        <w:bCs w:val="false"/>
        <w:i w:val="false"/>
        <w:iCs w:val="false"/>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false"/>
        <w:bCs w:val="false"/>
        <w:i w:val="false"/>
        <w:iCs w:val="false"/>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16">
    <w:lvl w:ilvl="0">
      <w:start w:val="1"/>
      <w:numFmt w:val="decimal"/>
      <w:lvlText w:val="%1."/>
      <w:lvlJc w:val="left"/>
      <w:pPr>
        <w:tabs>
          <w:tab w:val="num" w:pos="0"/>
        </w:tabs>
        <w:ind w:left="803" w:hanging="282"/>
      </w:pPr>
      <w:rPr>
        <w:rFonts w:ascii="Times New Roman" w:hAnsi="Times New Roman" w:eastAsia="Arial" w:cs="Arial"/>
        <w:b w:val="false"/>
        <w:bCs w:val="false"/>
        <w:i w:val="false"/>
        <w:iCs w:val="false"/>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false"/>
        <w:bCs w:val="false"/>
        <w:i w:val="false"/>
        <w:iCs w:val="false"/>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17">
    <w:lvl w:ilvl="0">
      <w:start w:val="1"/>
      <w:numFmt w:val="decimal"/>
      <w:lvlText w:val="%1."/>
      <w:lvlJc w:val="left"/>
      <w:pPr>
        <w:tabs>
          <w:tab w:val="num" w:pos="0"/>
        </w:tabs>
        <w:ind w:left="803" w:hanging="283"/>
      </w:pPr>
      <w:rPr>
        <w:rFonts w:ascii="Times New Roman" w:hAnsi="Times New Roman"/>
        <w:spacing w:val="-1"/>
        <w:w w:val="98"/>
        <w:lang w:val="pl-PL" w:eastAsia="en-US" w:bidi="ar-SA"/>
      </w:rPr>
    </w:lvl>
    <w:lvl w:ilvl="1">
      <w:start w:val="1"/>
      <w:numFmt w:val="bullet"/>
      <w:lvlText w:val="-"/>
      <w:lvlJc w:val="left"/>
      <w:pPr>
        <w:tabs>
          <w:tab w:val="num" w:pos="0"/>
        </w:tabs>
        <w:ind w:left="1084" w:hanging="285"/>
      </w:pPr>
      <w:rPr>
        <w:rFonts w:ascii="Arial" w:hAnsi="Arial" w:cs="Arial" w:hint="default"/>
        <w:spacing w:val="0"/>
        <w:w w:val="99"/>
        <w:lang w:val="pl-PL" w:eastAsia="en-US" w:bidi="ar-SA"/>
      </w:rPr>
    </w:lvl>
    <w:lvl w:ilvl="2">
      <w:start w:val="1"/>
      <w:numFmt w:val="bullet"/>
      <w:lvlText w:val=""/>
      <w:lvlJc w:val="left"/>
      <w:pPr>
        <w:tabs>
          <w:tab w:val="num" w:pos="0"/>
        </w:tabs>
        <w:ind w:left="2134" w:hanging="285"/>
      </w:pPr>
      <w:rPr>
        <w:rFonts w:ascii="Symbol" w:hAnsi="Symbol" w:cs="Symbol" w:hint="default"/>
        <w:lang w:val="pl-PL" w:eastAsia="en-US" w:bidi="ar-SA"/>
      </w:rPr>
    </w:lvl>
    <w:lvl w:ilvl="3">
      <w:start w:val="1"/>
      <w:numFmt w:val="bullet"/>
      <w:lvlText w:val=""/>
      <w:lvlJc w:val="left"/>
      <w:pPr>
        <w:tabs>
          <w:tab w:val="num" w:pos="0"/>
        </w:tabs>
        <w:ind w:left="3188" w:hanging="285"/>
      </w:pPr>
      <w:rPr>
        <w:rFonts w:ascii="Symbol" w:hAnsi="Symbol" w:cs="Symbol" w:hint="default"/>
        <w:lang w:val="pl-PL" w:eastAsia="en-US" w:bidi="ar-SA"/>
      </w:rPr>
    </w:lvl>
    <w:lvl w:ilvl="4">
      <w:start w:val="1"/>
      <w:numFmt w:val="bullet"/>
      <w:lvlText w:val=""/>
      <w:lvlJc w:val="left"/>
      <w:pPr>
        <w:tabs>
          <w:tab w:val="num" w:pos="0"/>
        </w:tabs>
        <w:ind w:left="4242" w:hanging="285"/>
      </w:pPr>
      <w:rPr>
        <w:rFonts w:ascii="Symbol" w:hAnsi="Symbol" w:cs="Symbol" w:hint="default"/>
        <w:lang w:val="pl-PL" w:eastAsia="en-US" w:bidi="ar-SA"/>
      </w:rPr>
    </w:lvl>
    <w:lvl w:ilvl="5">
      <w:start w:val="1"/>
      <w:numFmt w:val="bullet"/>
      <w:lvlText w:val=""/>
      <w:lvlJc w:val="left"/>
      <w:pPr>
        <w:tabs>
          <w:tab w:val="num" w:pos="0"/>
        </w:tabs>
        <w:ind w:left="5296" w:hanging="285"/>
      </w:pPr>
      <w:rPr>
        <w:rFonts w:ascii="Symbol" w:hAnsi="Symbol" w:cs="Symbol" w:hint="default"/>
        <w:lang w:val="pl-PL" w:eastAsia="en-US" w:bidi="ar-SA"/>
      </w:rPr>
    </w:lvl>
    <w:lvl w:ilvl="6">
      <w:start w:val="1"/>
      <w:numFmt w:val="bullet"/>
      <w:lvlText w:val=""/>
      <w:lvlJc w:val="left"/>
      <w:pPr>
        <w:tabs>
          <w:tab w:val="num" w:pos="0"/>
        </w:tabs>
        <w:ind w:left="6350" w:hanging="285"/>
      </w:pPr>
      <w:rPr>
        <w:rFonts w:ascii="Symbol" w:hAnsi="Symbol" w:cs="Symbol" w:hint="default"/>
        <w:lang w:val="pl-PL" w:eastAsia="en-US" w:bidi="ar-SA"/>
      </w:rPr>
    </w:lvl>
    <w:lvl w:ilvl="7">
      <w:start w:val="1"/>
      <w:numFmt w:val="bullet"/>
      <w:lvlText w:val=""/>
      <w:lvlJc w:val="left"/>
      <w:pPr>
        <w:tabs>
          <w:tab w:val="num" w:pos="0"/>
        </w:tabs>
        <w:ind w:left="7404" w:hanging="285"/>
      </w:pPr>
      <w:rPr>
        <w:rFonts w:ascii="Symbol" w:hAnsi="Symbol" w:cs="Symbol" w:hint="default"/>
        <w:lang w:val="pl-PL" w:eastAsia="en-US" w:bidi="ar-SA"/>
      </w:rPr>
    </w:lvl>
    <w:lvl w:ilvl="8">
      <w:start w:val="1"/>
      <w:numFmt w:val="bullet"/>
      <w:lvlText w:val=""/>
      <w:lvlJc w:val="left"/>
      <w:pPr>
        <w:tabs>
          <w:tab w:val="num" w:pos="0"/>
        </w:tabs>
        <w:ind w:left="8458" w:hanging="285"/>
      </w:pPr>
      <w:rPr>
        <w:rFonts w:ascii="Symbol" w:hAnsi="Symbol" w:cs="Symbol" w:hint="default"/>
        <w:lang w:val="pl-PL" w:eastAsia="en-US" w:bidi="ar-SA"/>
      </w:rPr>
    </w:lvl>
  </w:abstractNum>
  <w:abstractNum w:abstractNumId="18">
    <w:lvl w:ilvl="0">
      <w:start w:val="1"/>
      <w:numFmt w:val="decimal"/>
      <w:lvlText w:val="%1."/>
      <w:lvlJc w:val="left"/>
      <w:pPr>
        <w:tabs>
          <w:tab w:val="num" w:pos="0"/>
        </w:tabs>
        <w:ind w:left="803" w:hanging="282"/>
      </w:pPr>
      <w:rPr>
        <w:rFonts w:ascii="Times New Roman" w:hAnsi="Times New Roman" w:eastAsia="Arial" w:cs="Arial"/>
        <w:b w:val="false"/>
        <w:bCs w:val="false"/>
        <w:i w:val="false"/>
        <w:iCs w:val="false"/>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false"/>
        <w:bCs w:val="false"/>
        <w:i w:val="false"/>
        <w:iCs w:val="false"/>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19">
    <w:lvl w:ilvl="0">
      <w:start w:val="1"/>
      <w:numFmt w:val="decimal"/>
      <w:lvlText w:val="%1."/>
      <w:lvlJc w:val="left"/>
      <w:pPr>
        <w:tabs>
          <w:tab w:val="num" w:pos="0"/>
        </w:tabs>
        <w:ind w:left="803" w:hanging="282"/>
      </w:pPr>
      <w:rPr>
        <w:rFonts w:ascii="Times New Roman" w:hAnsi="Times New Roman" w:eastAsia="Arial" w:cs="Arial"/>
        <w:b w:val="false"/>
        <w:bCs w:val="false"/>
        <w:i w:val="false"/>
        <w:iCs w:val="false"/>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false"/>
        <w:bCs w:val="false"/>
        <w:i w:val="false"/>
        <w:iCs w:val="false"/>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20">
    <w:lvl w:ilvl="0">
      <w:start w:val="1"/>
      <w:numFmt w:val="decimal"/>
      <w:lvlText w:val="%1."/>
      <w:lvlJc w:val="left"/>
      <w:pPr>
        <w:tabs>
          <w:tab w:val="num" w:pos="0"/>
        </w:tabs>
        <w:ind w:left="803" w:hanging="282"/>
      </w:pPr>
      <w:rPr>
        <w:rFonts w:ascii="Times New Roman" w:hAnsi="Times New Roman" w:eastAsia="Arial" w:cs="Arial"/>
        <w:b w:val="false"/>
        <w:bCs w:val="false"/>
        <w:i w:val="false"/>
        <w:iCs w:val="false"/>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false"/>
        <w:bCs w:val="false"/>
        <w:i w:val="false"/>
        <w:iCs w:val="false"/>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21">
    <w:lvl w:ilvl="0">
      <w:start w:val="1"/>
      <w:numFmt w:val="decimal"/>
      <w:lvlText w:val="%1."/>
      <w:lvlJc w:val="left"/>
      <w:pPr>
        <w:tabs>
          <w:tab w:val="num" w:pos="0"/>
        </w:tabs>
        <w:ind w:left="803" w:hanging="282"/>
      </w:pPr>
      <w:rPr>
        <w:rFonts w:ascii="Times New Roman" w:hAnsi="Times New Roman" w:eastAsia="Arial" w:cs="Arial"/>
        <w:b w:val="false"/>
        <w:bCs w:val="false"/>
        <w:i w:val="false"/>
        <w:iCs w:val="false"/>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false"/>
        <w:bCs w:val="false"/>
        <w:i w:val="false"/>
        <w:iCs w:val="false"/>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22">
    <w:lvl w:ilvl="0">
      <w:start w:val="1"/>
      <w:numFmt w:val="decimal"/>
      <w:lvlText w:val="%1."/>
      <w:lvlJc w:val="left"/>
      <w:pPr>
        <w:tabs>
          <w:tab w:val="num" w:pos="0"/>
        </w:tabs>
        <w:ind w:left="803" w:hanging="282"/>
      </w:pPr>
      <w:rPr>
        <w:rFonts w:ascii="Times New Roman" w:hAnsi="Times New Roman" w:eastAsia="Arial" w:cs="Arial"/>
        <w:b w:val="false"/>
        <w:bCs w:val="false"/>
        <w:i w:val="false"/>
        <w:iCs w:val="false"/>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false"/>
        <w:bCs w:val="false"/>
        <w:i w:val="false"/>
        <w:iCs w:val="false"/>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23">
    <w:lvl w:ilvl="0">
      <w:start w:val="1"/>
      <w:numFmt w:val="decimal"/>
      <w:lvlText w:val="%1."/>
      <w:lvlJc w:val="left"/>
      <w:pPr>
        <w:tabs>
          <w:tab w:val="num" w:pos="0"/>
        </w:tabs>
        <w:ind w:left="803" w:hanging="282"/>
      </w:pPr>
      <w:rPr>
        <w:rFonts w:ascii="Times New Roman" w:hAnsi="Times New Roman" w:eastAsia="Arial" w:cs="Arial"/>
        <w:b w:val="false"/>
        <w:bCs w:val="false"/>
        <w:i w:val="false"/>
        <w:iCs w:val="false"/>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false"/>
        <w:bCs w:val="false"/>
        <w:i w:val="false"/>
        <w:iCs w:val="false"/>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24">
    <w:lvl w:ilvl="0">
      <w:start w:val="1"/>
      <w:numFmt w:val="decimal"/>
      <w:lvlText w:val="%1."/>
      <w:lvlJc w:val="left"/>
      <w:pPr>
        <w:tabs>
          <w:tab w:val="num" w:pos="0"/>
        </w:tabs>
        <w:ind w:left="803" w:hanging="282"/>
      </w:pPr>
      <w:rPr>
        <w:rFonts w:ascii="Times New Roman" w:hAnsi="Times New Roman" w:eastAsia="Arial" w:cs="Arial"/>
        <w:b w:val="false"/>
        <w:bCs w:val="false"/>
        <w:i w:val="false"/>
        <w:iCs w:val="false"/>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false"/>
        <w:bCs w:val="false"/>
        <w:i w:val="false"/>
        <w:iCs w:val="false"/>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25">
    <w:lvl w:ilvl="0">
      <w:start w:val="1"/>
      <w:numFmt w:val="decimal"/>
      <w:lvlText w:val="%1."/>
      <w:lvlJc w:val="left"/>
      <w:pPr>
        <w:tabs>
          <w:tab w:val="num" w:pos="0"/>
        </w:tabs>
        <w:ind w:left="803" w:hanging="282"/>
      </w:pPr>
      <w:rPr>
        <w:rFonts w:ascii="Times New Roman" w:hAnsi="Times New Roman" w:eastAsia="Arial" w:cs="Arial"/>
        <w:b w:val="false"/>
        <w:bCs w:val="false"/>
        <w:i w:val="false"/>
        <w:iCs w:val="false"/>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false"/>
        <w:bCs w:val="false"/>
        <w:i w:val="false"/>
        <w:iCs w:val="false"/>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26">
    <w:lvl w:ilvl="0">
      <w:start w:val="1"/>
      <w:numFmt w:val="decimal"/>
      <w:lvlText w:val="%1."/>
      <w:lvlJc w:val="left"/>
      <w:pPr>
        <w:tabs>
          <w:tab w:val="num" w:pos="0"/>
        </w:tabs>
        <w:ind w:left="803" w:hanging="282"/>
      </w:pPr>
      <w:rPr>
        <w:rFonts w:ascii="Times New Roman" w:hAnsi="Times New Roman" w:eastAsia="Arial" w:cs="Arial"/>
        <w:b w:val="false"/>
        <w:bCs w:val="false"/>
        <w:i w:val="false"/>
        <w:iCs w:val="false"/>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false"/>
        <w:bCs w:val="false"/>
        <w:i w:val="false"/>
        <w:iCs w:val="false"/>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27">
    <w:lvl w:ilvl="0">
      <w:start w:val="1"/>
      <w:numFmt w:val="decimal"/>
      <w:lvlText w:val="%1."/>
      <w:lvlJc w:val="left"/>
      <w:pPr>
        <w:tabs>
          <w:tab w:val="num" w:pos="0"/>
        </w:tabs>
        <w:ind w:left="803" w:hanging="282"/>
      </w:pPr>
      <w:rPr>
        <w:rFonts w:ascii="Times New Roman" w:hAnsi="Times New Roman" w:eastAsia="Arial" w:cs="Arial"/>
        <w:b w:val="false"/>
        <w:bCs w:val="false"/>
        <w:i w:val="false"/>
        <w:iCs w:val="false"/>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false"/>
        <w:bCs w:val="false"/>
        <w:i w:val="false"/>
        <w:iCs w:val="false"/>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28">
    <w:lvl w:ilvl="0">
      <w:start w:val="1"/>
      <w:numFmt w:val="decimal"/>
      <w:lvlText w:val="%1."/>
      <w:lvlJc w:val="left"/>
      <w:pPr>
        <w:tabs>
          <w:tab w:val="num" w:pos="0"/>
        </w:tabs>
        <w:ind w:left="803" w:hanging="282"/>
      </w:pPr>
      <w:rPr>
        <w:rFonts w:ascii="Times New Roman" w:hAnsi="Times New Roman" w:eastAsia="Arial" w:cs="Arial"/>
        <w:b w:val="false"/>
        <w:bCs w:val="false"/>
        <w:i w:val="false"/>
        <w:iCs w:val="false"/>
        <w:color w:val="010101"/>
        <w:spacing w:val="-1"/>
        <w:w w:val="103"/>
        <w:sz w:val="22"/>
        <w:szCs w:val="22"/>
        <w:lang w:val="pl-PL" w:eastAsia="en-US" w:bidi="ar-SA"/>
      </w:rPr>
    </w:lvl>
    <w:lvl w:ilvl="1">
      <w:start w:val="1"/>
      <w:numFmt w:val="bullet"/>
      <w:lvlText w:val="-"/>
      <w:lvlJc w:val="left"/>
      <w:pPr>
        <w:tabs>
          <w:tab w:val="num" w:pos="0"/>
        </w:tabs>
        <w:ind w:left="1084" w:hanging="288"/>
      </w:pPr>
      <w:rPr>
        <w:rFonts w:ascii="Arial" w:hAnsi="Arial" w:cs="Arial" w:hint="default"/>
        <w:b w:val="false"/>
        <w:bCs w:val="false"/>
        <w:i w:val="false"/>
        <w:iCs w:val="false"/>
        <w:color w:val="010101"/>
        <w:spacing w:val="0"/>
        <w:w w:val="102"/>
        <w:sz w:val="23"/>
        <w:szCs w:val="23"/>
        <w:lang w:val="pl-PL" w:eastAsia="en-US" w:bidi="ar-SA"/>
      </w:rPr>
    </w:lvl>
    <w:lvl w:ilvl="2">
      <w:start w:val="1"/>
      <w:numFmt w:val="bullet"/>
      <w:lvlText w:val=""/>
      <w:lvlJc w:val="left"/>
      <w:pPr>
        <w:tabs>
          <w:tab w:val="num" w:pos="0"/>
        </w:tabs>
        <w:ind w:left="2134" w:hanging="288"/>
      </w:pPr>
      <w:rPr>
        <w:rFonts w:ascii="Symbol" w:hAnsi="Symbol" w:cs="Symbol" w:hint="default"/>
        <w:lang w:val="pl-PL" w:eastAsia="en-US" w:bidi="ar-SA"/>
      </w:rPr>
    </w:lvl>
    <w:lvl w:ilvl="3">
      <w:start w:val="1"/>
      <w:numFmt w:val="bullet"/>
      <w:lvlText w:val=""/>
      <w:lvlJc w:val="left"/>
      <w:pPr>
        <w:tabs>
          <w:tab w:val="num" w:pos="0"/>
        </w:tabs>
        <w:ind w:left="3188" w:hanging="288"/>
      </w:pPr>
      <w:rPr>
        <w:rFonts w:ascii="Symbol" w:hAnsi="Symbol" w:cs="Symbol" w:hint="default"/>
        <w:lang w:val="pl-PL" w:eastAsia="en-US" w:bidi="ar-SA"/>
      </w:rPr>
    </w:lvl>
    <w:lvl w:ilvl="4">
      <w:start w:val="1"/>
      <w:numFmt w:val="bullet"/>
      <w:lvlText w:val=""/>
      <w:lvlJc w:val="left"/>
      <w:pPr>
        <w:tabs>
          <w:tab w:val="num" w:pos="0"/>
        </w:tabs>
        <w:ind w:left="4242" w:hanging="288"/>
      </w:pPr>
      <w:rPr>
        <w:rFonts w:ascii="Symbol" w:hAnsi="Symbol" w:cs="Symbol" w:hint="default"/>
        <w:lang w:val="pl-PL" w:eastAsia="en-US" w:bidi="ar-SA"/>
      </w:rPr>
    </w:lvl>
    <w:lvl w:ilvl="5">
      <w:start w:val="1"/>
      <w:numFmt w:val="bullet"/>
      <w:lvlText w:val=""/>
      <w:lvlJc w:val="left"/>
      <w:pPr>
        <w:tabs>
          <w:tab w:val="num" w:pos="0"/>
        </w:tabs>
        <w:ind w:left="5296" w:hanging="288"/>
      </w:pPr>
      <w:rPr>
        <w:rFonts w:ascii="Symbol" w:hAnsi="Symbol" w:cs="Symbol" w:hint="default"/>
        <w:lang w:val="pl-PL" w:eastAsia="en-US" w:bidi="ar-SA"/>
      </w:rPr>
    </w:lvl>
    <w:lvl w:ilvl="6">
      <w:start w:val="1"/>
      <w:numFmt w:val="bullet"/>
      <w:lvlText w:val=""/>
      <w:lvlJc w:val="left"/>
      <w:pPr>
        <w:tabs>
          <w:tab w:val="num" w:pos="0"/>
        </w:tabs>
        <w:ind w:left="6350" w:hanging="288"/>
      </w:pPr>
      <w:rPr>
        <w:rFonts w:ascii="Symbol" w:hAnsi="Symbol" w:cs="Symbol" w:hint="default"/>
        <w:lang w:val="pl-PL" w:eastAsia="en-US" w:bidi="ar-SA"/>
      </w:rPr>
    </w:lvl>
    <w:lvl w:ilvl="7">
      <w:start w:val="1"/>
      <w:numFmt w:val="bullet"/>
      <w:lvlText w:val=""/>
      <w:lvlJc w:val="left"/>
      <w:pPr>
        <w:tabs>
          <w:tab w:val="num" w:pos="0"/>
        </w:tabs>
        <w:ind w:left="7404" w:hanging="288"/>
      </w:pPr>
      <w:rPr>
        <w:rFonts w:ascii="Symbol" w:hAnsi="Symbol" w:cs="Symbol" w:hint="default"/>
        <w:lang w:val="pl-PL" w:eastAsia="en-US" w:bidi="ar-SA"/>
      </w:rPr>
    </w:lvl>
    <w:lvl w:ilvl="8">
      <w:start w:val="1"/>
      <w:numFmt w:val="bullet"/>
      <w:lvlText w:val=""/>
      <w:lvlJc w:val="left"/>
      <w:pPr>
        <w:tabs>
          <w:tab w:val="num" w:pos="0"/>
        </w:tabs>
        <w:ind w:left="8458" w:hanging="288"/>
      </w:pPr>
      <w:rPr>
        <w:rFonts w:ascii="Symbol" w:hAnsi="Symbol" w:cs="Symbol" w:hint="default"/>
        <w:lang w:val="pl-PL" w:eastAsia="en-US" w:bidi="ar-SA"/>
      </w:rPr>
    </w:lvl>
  </w:abstractNum>
  <w:abstractNum w:abstractNumId="29">
    <w:lvl w:ilvl="0">
      <w:start w:val="1"/>
      <w:numFmt w:val="decimal"/>
      <w:lvlText w:val="%1."/>
      <w:lvlJc w:val="left"/>
      <w:pPr>
        <w:tabs>
          <w:tab w:val="num" w:pos="0"/>
        </w:tabs>
        <w:ind w:left="803" w:hanging="283"/>
      </w:pPr>
      <w:rPr>
        <w:rFonts w:ascii="Times New Roman" w:hAnsi="Times New Roman"/>
        <w:spacing w:val="-1"/>
        <w:w w:val="98"/>
        <w:lang w:val="pl-PL" w:eastAsia="en-US" w:bidi="ar-SA"/>
      </w:rPr>
    </w:lvl>
    <w:lvl w:ilvl="1">
      <w:start w:val="1"/>
      <w:numFmt w:val="bullet"/>
      <w:lvlText w:val="-"/>
      <w:lvlJc w:val="left"/>
      <w:pPr>
        <w:tabs>
          <w:tab w:val="num" w:pos="0"/>
        </w:tabs>
        <w:ind w:left="1084" w:hanging="285"/>
      </w:pPr>
      <w:rPr>
        <w:rFonts w:ascii="Arial" w:hAnsi="Arial" w:cs="Arial" w:hint="default"/>
        <w:spacing w:val="0"/>
        <w:w w:val="99"/>
        <w:lang w:val="pl-PL" w:eastAsia="en-US" w:bidi="ar-SA"/>
      </w:rPr>
    </w:lvl>
    <w:lvl w:ilvl="2">
      <w:start w:val="1"/>
      <w:numFmt w:val="bullet"/>
      <w:lvlText w:val=""/>
      <w:lvlJc w:val="left"/>
      <w:pPr>
        <w:tabs>
          <w:tab w:val="num" w:pos="0"/>
        </w:tabs>
        <w:ind w:left="2134" w:hanging="285"/>
      </w:pPr>
      <w:rPr>
        <w:rFonts w:ascii="Symbol" w:hAnsi="Symbol" w:cs="Symbol" w:hint="default"/>
        <w:lang w:val="pl-PL" w:eastAsia="en-US" w:bidi="ar-SA"/>
      </w:rPr>
    </w:lvl>
    <w:lvl w:ilvl="3">
      <w:start w:val="1"/>
      <w:numFmt w:val="bullet"/>
      <w:lvlText w:val=""/>
      <w:lvlJc w:val="left"/>
      <w:pPr>
        <w:tabs>
          <w:tab w:val="num" w:pos="0"/>
        </w:tabs>
        <w:ind w:left="3188" w:hanging="285"/>
      </w:pPr>
      <w:rPr>
        <w:rFonts w:ascii="Symbol" w:hAnsi="Symbol" w:cs="Symbol" w:hint="default"/>
        <w:lang w:val="pl-PL" w:eastAsia="en-US" w:bidi="ar-SA"/>
      </w:rPr>
    </w:lvl>
    <w:lvl w:ilvl="4">
      <w:start w:val="1"/>
      <w:numFmt w:val="bullet"/>
      <w:lvlText w:val=""/>
      <w:lvlJc w:val="left"/>
      <w:pPr>
        <w:tabs>
          <w:tab w:val="num" w:pos="0"/>
        </w:tabs>
        <w:ind w:left="4242" w:hanging="285"/>
      </w:pPr>
      <w:rPr>
        <w:rFonts w:ascii="Symbol" w:hAnsi="Symbol" w:cs="Symbol" w:hint="default"/>
        <w:lang w:val="pl-PL" w:eastAsia="en-US" w:bidi="ar-SA"/>
      </w:rPr>
    </w:lvl>
    <w:lvl w:ilvl="5">
      <w:start w:val="1"/>
      <w:numFmt w:val="bullet"/>
      <w:lvlText w:val=""/>
      <w:lvlJc w:val="left"/>
      <w:pPr>
        <w:tabs>
          <w:tab w:val="num" w:pos="0"/>
        </w:tabs>
        <w:ind w:left="5296" w:hanging="285"/>
      </w:pPr>
      <w:rPr>
        <w:rFonts w:ascii="Symbol" w:hAnsi="Symbol" w:cs="Symbol" w:hint="default"/>
        <w:lang w:val="pl-PL" w:eastAsia="en-US" w:bidi="ar-SA"/>
      </w:rPr>
    </w:lvl>
    <w:lvl w:ilvl="6">
      <w:start w:val="1"/>
      <w:numFmt w:val="bullet"/>
      <w:lvlText w:val=""/>
      <w:lvlJc w:val="left"/>
      <w:pPr>
        <w:tabs>
          <w:tab w:val="num" w:pos="0"/>
        </w:tabs>
        <w:ind w:left="6350" w:hanging="285"/>
      </w:pPr>
      <w:rPr>
        <w:rFonts w:ascii="Symbol" w:hAnsi="Symbol" w:cs="Symbol" w:hint="default"/>
        <w:lang w:val="pl-PL" w:eastAsia="en-US" w:bidi="ar-SA"/>
      </w:rPr>
    </w:lvl>
    <w:lvl w:ilvl="7">
      <w:start w:val="1"/>
      <w:numFmt w:val="bullet"/>
      <w:lvlText w:val=""/>
      <w:lvlJc w:val="left"/>
      <w:pPr>
        <w:tabs>
          <w:tab w:val="num" w:pos="0"/>
        </w:tabs>
        <w:ind w:left="7404" w:hanging="285"/>
      </w:pPr>
      <w:rPr>
        <w:rFonts w:ascii="Symbol" w:hAnsi="Symbol" w:cs="Symbol" w:hint="default"/>
        <w:lang w:val="pl-PL" w:eastAsia="en-US" w:bidi="ar-SA"/>
      </w:rPr>
    </w:lvl>
    <w:lvl w:ilvl="8">
      <w:start w:val="1"/>
      <w:numFmt w:val="bullet"/>
      <w:lvlText w:val=""/>
      <w:lvlJc w:val="left"/>
      <w:pPr>
        <w:tabs>
          <w:tab w:val="num" w:pos="0"/>
        </w:tabs>
        <w:ind w:left="8458" w:hanging="285"/>
      </w:pPr>
      <w:rPr>
        <w:rFonts w:ascii="Symbol" w:hAnsi="Symbol" w:cs="Symbol" w:hint="default"/>
        <w:lang w:val="pl-PL" w:eastAsia="en-US" w:bidi="ar-SA"/>
      </w:rPr>
    </w:lvl>
  </w:abstractNum>
  <w:abstractNum w:abstractNumId="30">
    <w:lvl w:ilvl="0">
      <w:start w:val="1"/>
      <w:numFmt w:val="decimal"/>
      <w:lvlText w:val="%1."/>
      <w:lvlJc w:val="left"/>
      <w:pPr>
        <w:tabs>
          <w:tab w:val="num" w:pos="0"/>
        </w:tabs>
        <w:ind w:left="803" w:hanging="283"/>
      </w:pPr>
      <w:rPr>
        <w:rFonts w:ascii="Times New Roman" w:hAnsi="Times New Roman"/>
        <w:spacing w:val="-1"/>
        <w:w w:val="98"/>
        <w:lang w:val="pl-PL" w:eastAsia="en-US" w:bidi="ar-SA"/>
      </w:rPr>
    </w:lvl>
    <w:lvl w:ilvl="1">
      <w:start w:val="1"/>
      <w:numFmt w:val="bullet"/>
      <w:lvlText w:val="-"/>
      <w:lvlJc w:val="left"/>
      <w:pPr>
        <w:tabs>
          <w:tab w:val="num" w:pos="0"/>
        </w:tabs>
        <w:ind w:left="1084" w:hanging="285"/>
      </w:pPr>
      <w:rPr>
        <w:rFonts w:ascii="Arial" w:hAnsi="Arial" w:cs="Arial" w:hint="default"/>
        <w:spacing w:val="0"/>
        <w:w w:val="99"/>
        <w:lang w:val="pl-PL" w:eastAsia="en-US" w:bidi="ar-SA"/>
      </w:rPr>
    </w:lvl>
    <w:lvl w:ilvl="2">
      <w:start w:val="1"/>
      <w:numFmt w:val="bullet"/>
      <w:lvlText w:val=""/>
      <w:lvlJc w:val="left"/>
      <w:pPr>
        <w:tabs>
          <w:tab w:val="num" w:pos="0"/>
        </w:tabs>
        <w:ind w:left="2134" w:hanging="285"/>
      </w:pPr>
      <w:rPr>
        <w:rFonts w:ascii="Symbol" w:hAnsi="Symbol" w:cs="Symbol" w:hint="default"/>
        <w:lang w:val="pl-PL" w:eastAsia="en-US" w:bidi="ar-SA"/>
      </w:rPr>
    </w:lvl>
    <w:lvl w:ilvl="3">
      <w:start w:val="1"/>
      <w:numFmt w:val="bullet"/>
      <w:lvlText w:val=""/>
      <w:lvlJc w:val="left"/>
      <w:pPr>
        <w:tabs>
          <w:tab w:val="num" w:pos="0"/>
        </w:tabs>
        <w:ind w:left="3188" w:hanging="285"/>
      </w:pPr>
      <w:rPr>
        <w:rFonts w:ascii="Symbol" w:hAnsi="Symbol" w:cs="Symbol" w:hint="default"/>
        <w:lang w:val="pl-PL" w:eastAsia="en-US" w:bidi="ar-SA"/>
      </w:rPr>
    </w:lvl>
    <w:lvl w:ilvl="4">
      <w:start w:val="1"/>
      <w:numFmt w:val="bullet"/>
      <w:lvlText w:val=""/>
      <w:lvlJc w:val="left"/>
      <w:pPr>
        <w:tabs>
          <w:tab w:val="num" w:pos="0"/>
        </w:tabs>
        <w:ind w:left="4242" w:hanging="285"/>
      </w:pPr>
      <w:rPr>
        <w:rFonts w:ascii="Symbol" w:hAnsi="Symbol" w:cs="Symbol" w:hint="default"/>
        <w:lang w:val="pl-PL" w:eastAsia="en-US" w:bidi="ar-SA"/>
      </w:rPr>
    </w:lvl>
    <w:lvl w:ilvl="5">
      <w:start w:val="1"/>
      <w:numFmt w:val="bullet"/>
      <w:lvlText w:val=""/>
      <w:lvlJc w:val="left"/>
      <w:pPr>
        <w:tabs>
          <w:tab w:val="num" w:pos="0"/>
        </w:tabs>
        <w:ind w:left="5296" w:hanging="285"/>
      </w:pPr>
      <w:rPr>
        <w:rFonts w:ascii="Symbol" w:hAnsi="Symbol" w:cs="Symbol" w:hint="default"/>
        <w:lang w:val="pl-PL" w:eastAsia="en-US" w:bidi="ar-SA"/>
      </w:rPr>
    </w:lvl>
    <w:lvl w:ilvl="6">
      <w:start w:val="1"/>
      <w:numFmt w:val="bullet"/>
      <w:lvlText w:val=""/>
      <w:lvlJc w:val="left"/>
      <w:pPr>
        <w:tabs>
          <w:tab w:val="num" w:pos="0"/>
        </w:tabs>
        <w:ind w:left="6350" w:hanging="285"/>
      </w:pPr>
      <w:rPr>
        <w:rFonts w:ascii="Symbol" w:hAnsi="Symbol" w:cs="Symbol" w:hint="default"/>
        <w:lang w:val="pl-PL" w:eastAsia="en-US" w:bidi="ar-SA"/>
      </w:rPr>
    </w:lvl>
    <w:lvl w:ilvl="7">
      <w:start w:val="1"/>
      <w:numFmt w:val="bullet"/>
      <w:lvlText w:val=""/>
      <w:lvlJc w:val="left"/>
      <w:pPr>
        <w:tabs>
          <w:tab w:val="num" w:pos="0"/>
        </w:tabs>
        <w:ind w:left="7404" w:hanging="285"/>
      </w:pPr>
      <w:rPr>
        <w:rFonts w:ascii="Symbol" w:hAnsi="Symbol" w:cs="Symbol" w:hint="default"/>
        <w:lang w:val="pl-PL" w:eastAsia="en-US" w:bidi="ar-SA"/>
      </w:rPr>
    </w:lvl>
    <w:lvl w:ilvl="8">
      <w:start w:val="1"/>
      <w:numFmt w:val="bullet"/>
      <w:lvlText w:val=""/>
      <w:lvlJc w:val="left"/>
      <w:pPr>
        <w:tabs>
          <w:tab w:val="num" w:pos="0"/>
        </w:tabs>
        <w:ind w:left="8458" w:hanging="285"/>
      </w:pPr>
      <w:rPr>
        <w:rFonts w:ascii="Symbol" w:hAnsi="Symbol" w:cs="Symbol" w:hint="default"/>
        <w:lang w:val="pl-PL" w:eastAsia="en-US" w:bidi="ar-SA"/>
      </w:rPr>
    </w:lvl>
  </w:abstractNum>
  <w:abstractNum w:abstractNumId="31">
    <w:lvl w:ilvl="0">
      <w:start w:val="1"/>
      <w:numFmt w:val="decimal"/>
      <w:lvlText w:val="%1."/>
      <w:lvlJc w:val="left"/>
      <w:pPr>
        <w:tabs>
          <w:tab w:val="num" w:pos="0"/>
        </w:tabs>
        <w:ind w:left="803" w:hanging="283"/>
      </w:pPr>
      <w:rPr>
        <w:rFonts w:ascii="Times New Roman" w:hAnsi="Times New Roman"/>
        <w:spacing w:val="-1"/>
        <w:w w:val="98"/>
        <w:lang w:val="pl-PL" w:eastAsia="en-US" w:bidi="ar-SA"/>
      </w:rPr>
    </w:lvl>
    <w:lvl w:ilvl="1">
      <w:start w:val="1"/>
      <w:numFmt w:val="bullet"/>
      <w:lvlText w:val="-"/>
      <w:lvlJc w:val="left"/>
      <w:pPr>
        <w:tabs>
          <w:tab w:val="num" w:pos="0"/>
        </w:tabs>
        <w:ind w:left="1084" w:hanging="285"/>
      </w:pPr>
      <w:rPr>
        <w:rFonts w:ascii="Arial" w:hAnsi="Arial" w:cs="Arial" w:hint="default"/>
        <w:spacing w:val="0"/>
        <w:w w:val="99"/>
        <w:lang w:val="pl-PL" w:eastAsia="en-US" w:bidi="ar-SA"/>
      </w:rPr>
    </w:lvl>
    <w:lvl w:ilvl="2">
      <w:start w:val="1"/>
      <w:numFmt w:val="bullet"/>
      <w:lvlText w:val=""/>
      <w:lvlJc w:val="left"/>
      <w:pPr>
        <w:tabs>
          <w:tab w:val="num" w:pos="0"/>
        </w:tabs>
        <w:ind w:left="2134" w:hanging="285"/>
      </w:pPr>
      <w:rPr>
        <w:rFonts w:ascii="Symbol" w:hAnsi="Symbol" w:cs="Symbol" w:hint="default"/>
        <w:lang w:val="pl-PL" w:eastAsia="en-US" w:bidi="ar-SA"/>
      </w:rPr>
    </w:lvl>
    <w:lvl w:ilvl="3">
      <w:start w:val="1"/>
      <w:numFmt w:val="bullet"/>
      <w:lvlText w:val=""/>
      <w:lvlJc w:val="left"/>
      <w:pPr>
        <w:tabs>
          <w:tab w:val="num" w:pos="0"/>
        </w:tabs>
        <w:ind w:left="3188" w:hanging="285"/>
      </w:pPr>
      <w:rPr>
        <w:rFonts w:ascii="Symbol" w:hAnsi="Symbol" w:cs="Symbol" w:hint="default"/>
        <w:lang w:val="pl-PL" w:eastAsia="en-US" w:bidi="ar-SA"/>
      </w:rPr>
    </w:lvl>
    <w:lvl w:ilvl="4">
      <w:start w:val="1"/>
      <w:numFmt w:val="bullet"/>
      <w:lvlText w:val=""/>
      <w:lvlJc w:val="left"/>
      <w:pPr>
        <w:tabs>
          <w:tab w:val="num" w:pos="0"/>
        </w:tabs>
        <w:ind w:left="4242" w:hanging="285"/>
      </w:pPr>
      <w:rPr>
        <w:rFonts w:ascii="Symbol" w:hAnsi="Symbol" w:cs="Symbol" w:hint="default"/>
        <w:lang w:val="pl-PL" w:eastAsia="en-US" w:bidi="ar-SA"/>
      </w:rPr>
    </w:lvl>
    <w:lvl w:ilvl="5">
      <w:start w:val="1"/>
      <w:numFmt w:val="bullet"/>
      <w:lvlText w:val=""/>
      <w:lvlJc w:val="left"/>
      <w:pPr>
        <w:tabs>
          <w:tab w:val="num" w:pos="0"/>
        </w:tabs>
        <w:ind w:left="5296" w:hanging="285"/>
      </w:pPr>
      <w:rPr>
        <w:rFonts w:ascii="Symbol" w:hAnsi="Symbol" w:cs="Symbol" w:hint="default"/>
        <w:lang w:val="pl-PL" w:eastAsia="en-US" w:bidi="ar-SA"/>
      </w:rPr>
    </w:lvl>
    <w:lvl w:ilvl="6">
      <w:start w:val="1"/>
      <w:numFmt w:val="bullet"/>
      <w:lvlText w:val=""/>
      <w:lvlJc w:val="left"/>
      <w:pPr>
        <w:tabs>
          <w:tab w:val="num" w:pos="0"/>
        </w:tabs>
        <w:ind w:left="6350" w:hanging="285"/>
      </w:pPr>
      <w:rPr>
        <w:rFonts w:ascii="Symbol" w:hAnsi="Symbol" w:cs="Symbol" w:hint="default"/>
        <w:lang w:val="pl-PL" w:eastAsia="en-US" w:bidi="ar-SA"/>
      </w:rPr>
    </w:lvl>
    <w:lvl w:ilvl="7">
      <w:start w:val="1"/>
      <w:numFmt w:val="bullet"/>
      <w:lvlText w:val=""/>
      <w:lvlJc w:val="left"/>
      <w:pPr>
        <w:tabs>
          <w:tab w:val="num" w:pos="0"/>
        </w:tabs>
        <w:ind w:left="7404" w:hanging="285"/>
      </w:pPr>
      <w:rPr>
        <w:rFonts w:ascii="Symbol" w:hAnsi="Symbol" w:cs="Symbol" w:hint="default"/>
        <w:lang w:val="pl-PL" w:eastAsia="en-US" w:bidi="ar-SA"/>
      </w:rPr>
    </w:lvl>
    <w:lvl w:ilvl="8">
      <w:start w:val="1"/>
      <w:numFmt w:val="bullet"/>
      <w:lvlText w:val=""/>
      <w:lvlJc w:val="left"/>
      <w:pPr>
        <w:tabs>
          <w:tab w:val="num" w:pos="0"/>
        </w:tabs>
        <w:ind w:left="8458" w:hanging="285"/>
      </w:pPr>
      <w:rPr>
        <w:rFonts w:ascii="Symbol" w:hAnsi="Symbol" w:cs="Symbol" w:hint="default"/>
        <w:lang w:val="pl-PL" w:eastAsia="en-US" w:bidi="ar-SA"/>
      </w:rPr>
    </w:lvl>
  </w:abstractNum>
  <w:abstractNum w:abstractNumId="32">
    <w:lvl w:ilvl="0">
      <w:start w:val="1"/>
      <w:numFmt w:val="decimal"/>
      <w:lvlText w:val="%1."/>
      <w:lvlJc w:val="left"/>
      <w:pPr>
        <w:tabs>
          <w:tab w:val="num" w:pos="0"/>
        </w:tabs>
        <w:ind w:left="803" w:hanging="283"/>
      </w:pPr>
      <w:rPr>
        <w:rFonts w:ascii="Times New Roman" w:hAnsi="Times New Roman"/>
        <w:spacing w:val="-1"/>
        <w:w w:val="98"/>
        <w:lang w:val="pl-PL" w:eastAsia="en-US" w:bidi="ar-SA"/>
      </w:rPr>
    </w:lvl>
    <w:lvl w:ilvl="1">
      <w:start w:val="1"/>
      <w:numFmt w:val="bullet"/>
      <w:lvlText w:val="-"/>
      <w:lvlJc w:val="left"/>
      <w:pPr>
        <w:tabs>
          <w:tab w:val="num" w:pos="0"/>
        </w:tabs>
        <w:ind w:left="1084" w:hanging="285"/>
      </w:pPr>
      <w:rPr>
        <w:rFonts w:ascii="Arial" w:hAnsi="Arial" w:cs="Arial" w:hint="default"/>
        <w:spacing w:val="0"/>
        <w:w w:val="99"/>
        <w:lang w:val="pl-PL" w:eastAsia="en-US" w:bidi="ar-SA"/>
      </w:rPr>
    </w:lvl>
    <w:lvl w:ilvl="2">
      <w:start w:val="1"/>
      <w:numFmt w:val="bullet"/>
      <w:lvlText w:val=""/>
      <w:lvlJc w:val="left"/>
      <w:pPr>
        <w:tabs>
          <w:tab w:val="num" w:pos="0"/>
        </w:tabs>
        <w:ind w:left="2134" w:hanging="285"/>
      </w:pPr>
      <w:rPr>
        <w:rFonts w:ascii="Symbol" w:hAnsi="Symbol" w:cs="Symbol" w:hint="default"/>
        <w:lang w:val="pl-PL" w:eastAsia="en-US" w:bidi="ar-SA"/>
      </w:rPr>
    </w:lvl>
    <w:lvl w:ilvl="3">
      <w:start w:val="1"/>
      <w:numFmt w:val="bullet"/>
      <w:lvlText w:val=""/>
      <w:lvlJc w:val="left"/>
      <w:pPr>
        <w:tabs>
          <w:tab w:val="num" w:pos="0"/>
        </w:tabs>
        <w:ind w:left="3188" w:hanging="285"/>
      </w:pPr>
      <w:rPr>
        <w:rFonts w:ascii="Symbol" w:hAnsi="Symbol" w:cs="Symbol" w:hint="default"/>
        <w:lang w:val="pl-PL" w:eastAsia="en-US" w:bidi="ar-SA"/>
      </w:rPr>
    </w:lvl>
    <w:lvl w:ilvl="4">
      <w:start w:val="1"/>
      <w:numFmt w:val="bullet"/>
      <w:lvlText w:val=""/>
      <w:lvlJc w:val="left"/>
      <w:pPr>
        <w:tabs>
          <w:tab w:val="num" w:pos="0"/>
        </w:tabs>
        <w:ind w:left="4242" w:hanging="285"/>
      </w:pPr>
      <w:rPr>
        <w:rFonts w:ascii="Symbol" w:hAnsi="Symbol" w:cs="Symbol" w:hint="default"/>
        <w:lang w:val="pl-PL" w:eastAsia="en-US" w:bidi="ar-SA"/>
      </w:rPr>
    </w:lvl>
    <w:lvl w:ilvl="5">
      <w:start w:val="1"/>
      <w:numFmt w:val="bullet"/>
      <w:lvlText w:val=""/>
      <w:lvlJc w:val="left"/>
      <w:pPr>
        <w:tabs>
          <w:tab w:val="num" w:pos="0"/>
        </w:tabs>
        <w:ind w:left="5296" w:hanging="285"/>
      </w:pPr>
      <w:rPr>
        <w:rFonts w:ascii="Symbol" w:hAnsi="Symbol" w:cs="Symbol" w:hint="default"/>
        <w:lang w:val="pl-PL" w:eastAsia="en-US" w:bidi="ar-SA"/>
      </w:rPr>
    </w:lvl>
    <w:lvl w:ilvl="6">
      <w:start w:val="1"/>
      <w:numFmt w:val="bullet"/>
      <w:lvlText w:val=""/>
      <w:lvlJc w:val="left"/>
      <w:pPr>
        <w:tabs>
          <w:tab w:val="num" w:pos="0"/>
        </w:tabs>
        <w:ind w:left="6350" w:hanging="285"/>
      </w:pPr>
      <w:rPr>
        <w:rFonts w:ascii="Symbol" w:hAnsi="Symbol" w:cs="Symbol" w:hint="default"/>
        <w:lang w:val="pl-PL" w:eastAsia="en-US" w:bidi="ar-SA"/>
      </w:rPr>
    </w:lvl>
    <w:lvl w:ilvl="7">
      <w:start w:val="1"/>
      <w:numFmt w:val="bullet"/>
      <w:lvlText w:val=""/>
      <w:lvlJc w:val="left"/>
      <w:pPr>
        <w:tabs>
          <w:tab w:val="num" w:pos="0"/>
        </w:tabs>
        <w:ind w:left="7404" w:hanging="285"/>
      </w:pPr>
      <w:rPr>
        <w:rFonts w:ascii="Symbol" w:hAnsi="Symbol" w:cs="Symbol" w:hint="default"/>
        <w:lang w:val="pl-PL" w:eastAsia="en-US" w:bidi="ar-SA"/>
      </w:rPr>
    </w:lvl>
    <w:lvl w:ilvl="8">
      <w:start w:val="1"/>
      <w:numFmt w:val="bullet"/>
      <w:lvlText w:val=""/>
      <w:lvlJc w:val="left"/>
      <w:pPr>
        <w:tabs>
          <w:tab w:val="num" w:pos="0"/>
        </w:tabs>
        <w:ind w:left="8458" w:hanging="285"/>
      </w:pPr>
      <w:rPr>
        <w:rFonts w:ascii="Symbol" w:hAnsi="Symbol" w:cs="Symbol" w:hint="default"/>
        <w:lang w:val="pl-PL" w:eastAsia="en-US" w:bidi="ar-SA"/>
      </w:rPr>
    </w:lvl>
  </w:abstractNum>
  <w:abstractNum w:abstractNumId="33">
    <w:lvl w:ilvl="0">
      <w:start w:val="1"/>
      <w:numFmt w:val="decimal"/>
      <w:lvlText w:val="%1."/>
      <w:lvlJc w:val="left"/>
      <w:pPr>
        <w:tabs>
          <w:tab w:val="num" w:pos="0"/>
        </w:tabs>
        <w:ind w:left="803" w:hanging="283"/>
      </w:pPr>
      <w:rPr>
        <w:rFonts w:ascii="Times New Roman" w:hAnsi="Times New Roman"/>
        <w:spacing w:val="-1"/>
        <w:w w:val="98"/>
        <w:lang w:val="pl-PL" w:eastAsia="en-US" w:bidi="ar-SA"/>
      </w:rPr>
    </w:lvl>
    <w:lvl w:ilvl="1">
      <w:start w:val="1"/>
      <w:numFmt w:val="bullet"/>
      <w:lvlText w:val="-"/>
      <w:lvlJc w:val="left"/>
      <w:pPr>
        <w:tabs>
          <w:tab w:val="num" w:pos="0"/>
        </w:tabs>
        <w:ind w:left="1084" w:hanging="285"/>
      </w:pPr>
      <w:rPr>
        <w:rFonts w:ascii="Arial" w:hAnsi="Arial" w:cs="Arial" w:hint="default"/>
        <w:spacing w:val="0"/>
        <w:w w:val="99"/>
        <w:lang w:val="pl-PL" w:eastAsia="en-US" w:bidi="ar-SA"/>
      </w:rPr>
    </w:lvl>
    <w:lvl w:ilvl="2">
      <w:start w:val="1"/>
      <w:numFmt w:val="bullet"/>
      <w:lvlText w:val=""/>
      <w:lvlJc w:val="left"/>
      <w:pPr>
        <w:tabs>
          <w:tab w:val="num" w:pos="0"/>
        </w:tabs>
        <w:ind w:left="2134" w:hanging="285"/>
      </w:pPr>
      <w:rPr>
        <w:rFonts w:ascii="Symbol" w:hAnsi="Symbol" w:cs="Symbol" w:hint="default"/>
        <w:lang w:val="pl-PL" w:eastAsia="en-US" w:bidi="ar-SA"/>
      </w:rPr>
    </w:lvl>
    <w:lvl w:ilvl="3">
      <w:start w:val="1"/>
      <w:numFmt w:val="bullet"/>
      <w:lvlText w:val=""/>
      <w:lvlJc w:val="left"/>
      <w:pPr>
        <w:tabs>
          <w:tab w:val="num" w:pos="0"/>
        </w:tabs>
        <w:ind w:left="3188" w:hanging="285"/>
      </w:pPr>
      <w:rPr>
        <w:rFonts w:ascii="Symbol" w:hAnsi="Symbol" w:cs="Symbol" w:hint="default"/>
        <w:lang w:val="pl-PL" w:eastAsia="en-US" w:bidi="ar-SA"/>
      </w:rPr>
    </w:lvl>
    <w:lvl w:ilvl="4">
      <w:start w:val="1"/>
      <w:numFmt w:val="bullet"/>
      <w:lvlText w:val=""/>
      <w:lvlJc w:val="left"/>
      <w:pPr>
        <w:tabs>
          <w:tab w:val="num" w:pos="0"/>
        </w:tabs>
        <w:ind w:left="4242" w:hanging="285"/>
      </w:pPr>
      <w:rPr>
        <w:rFonts w:ascii="Symbol" w:hAnsi="Symbol" w:cs="Symbol" w:hint="default"/>
        <w:lang w:val="pl-PL" w:eastAsia="en-US" w:bidi="ar-SA"/>
      </w:rPr>
    </w:lvl>
    <w:lvl w:ilvl="5">
      <w:start w:val="1"/>
      <w:numFmt w:val="bullet"/>
      <w:lvlText w:val=""/>
      <w:lvlJc w:val="left"/>
      <w:pPr>
        <w:tabs>
          <w:tab w:val="num" w:pos="0"/>
        </w:tabs>
        <w:ind w:left="5296" w:hanging="285"/>
      </w:pPr>
      <w:rPr>
        <w:rFonts w:ascii="Symbol" w:hAnsi="Symbol" w:cs="Symbol" w:hint="default"/>
        <w:lang w:val="pl-PL" w:eastAsia="en-US" w:bidi="ar-SA"/>
      </w:rPr>
    </w:lvl>
    <w:lvl w:ilvl="6">
      <w:start w:val="1"/>
      <w:numFmt w:val="bullet"/>
      <w:lvlText w:val=""/>
      <w:lvlJc w:val="left"/>
      <w:pPr>
        <w:tabs>
          <w:tab w:val="num" w:pos="0"/>
        </w:tabs>
        <w:ind w:left="6350" w:hanging="285"/>
      </w:pPr>
      <w:rPr>
        <w:rFonts w:ascii="Symbol" w:hAnsi="Symbol" w:cs="Symbol" w:hint="default"/>
        <w:lang w:val="pl-PL" w:eastAsia="en-US" w:bidi="ar-SA"/>
      </w:rPr>
    </w:lvl>
    <w:lvl w:ilvl="7">
      <w:start w:val="1"/>
      <w:numFmt w:val="bullet"/>
      <w:lvlText w:val=""/>
      <w:lvlJc w:val="left"/>
      <w:pPr>
        <w:tabs>
          <w:tab w:val="num" w:pos="0"/>
        </w:tabs>
        <w:ind w:left="7404" w:hanging="285"/>
      </w:pPr>
      <w:rPr>
        <w:rFonts w:ascii="Symbol" w:hAnsi="Symbol" w:cs="Symbol" w:hint="default"/>
        <w:lang w:val="pl-PL" w:eastAsia="en-US" w:bidi="ar-SA"/>
      </w:rPr>
    </w:lvl>
    <w:lvl w:ilvl="8">
      <w:start w:val="1"/>
      <w:numFmt w:val="bullet"/>
      <w:lvlText w:val=""/>
      <w:lvlJc w:val="left"/>
      <w:pPr>
        <w:tabs>
          <w:tab w:val="num" w:pos="0"/>
        </w:tabs>
        <w:ind w:left="8458" w:hanging="285"/>
      </w:pPr>
      <w:rPr>
        <w:rFonts w:ascii="Symbol" w:hAnsi="Symbol" w:cs="Symbol" w:hint="default"/>
        <w:lang w:val="pl-PL" w:eastAsia="en-US" w:bidi="ar-SA"/>
      </w:rPr>
    </w:lvl>
  </w:abstractNum>
  <w:abstractNum w:abstractNumId="34">
    <w:lvl w:ilvl="0">
      <w:start w:val="1"/>
      <w:numFmt w:val="decimal"/>
      <w:lvlText w:val="%1."/>
      <w:lvlJc w:val="left"/>
      <w:pPr>
        <w:tabs>
          <w:tab w:val="num" w:pos="0"/>
        </w:tabs>
        <w:ind w:left="803" w:hanging="283"/>
      </w:pPr>
      <w:rPr>
        <w:rFonts w:ascii="Times New Roman" w:hAnsi="Times New Roman"/>
        <w:spacing w:val="-1"/>
        <w:w w:val="98"/>
        <w:lang w:val="pl-PL" w:eastAsia="en-US" w:bidi="ar-SA"/>
      </w:rPr>
    </w:lvl>
    <w:lvl w:ilvl="1">
      <w:start w:val="1"/>
      <w:numFmt w:val="bullet"/>
      <w:lvlText w:val="-"/>
      <w:lvlJc w:val="left"/>
      <w:pPr>
        <w:tabs>
          <w:tab w:val="num" w:pos="0"/>
        </w:tabs>
        <w:ind w:left="1084" w:hanging="285"/>
      </w:pPr>
      <w:rPr>
        <w:rFonts w:ascii="Arial" w:hAnsi="Arial" w:cs="Arial" w:hint="default"/>
        <w:spacing w:val="0"/>
        <w:w w:val="99"/>
        <w:lang w:val="pl-PL" w:eastAsia="en-US" w:bidi="ar-SA"/>
      </w:rPr>
    </w:lvl>
    <w:lvl w:ilvl="2">
      <w:start w:val="1"/>
      <w:numFmt w:val="bullet"/>
      <w:lvlText w:val=""/>
      <w:lvlJc w:val="left"/>
      <w:pPr>
        <w:tabs>
          <w:tab w:val="num" w:pos="0"/>
        </w:tabs>
        <w:ind w:left="2134" w:hanging="285"/>
      </w:pPr>
      <w:rPr>
        <w:rFonts w:ascii="Symbol" w:hAnsi="Symbol" w:cs="Symbol" w:hint="default"/>
        <w:lang w:val="pl-PL" w:eastAsia="en-US" w:bidi="ar-SA"/>
      </w:rPr>
    </w:lvl>
    <w:lvl w:ilvl="3">
      <w:start w:val="1"/>
      <w:numFmt w:val="bullet"/>
      <w:lvlText w:val=""/>
      <w:lvlJc w:val="left"/>
      <w:pPr>
        <w:tabs>
          <w:tab w:val="num" w:pos="0"/>
        </w:tabs>
        <w:ind w:left="3188" w:hanging="285"/>
      </w:pPr>
      <w:rPr>
        <w:rFonts w:ascii="Symbol" w:hAnsi="Symbol" w:cs="Symbol" w:hint="default"/>
        <w:lang w:val="pl-PL" w:eastAsia="en-US" w:bidi="ar-SA"/>
      </w:rPr>
    </w:lvl>
    <w:lvl w:ilvl="4">
      <w:start w:val="1"/>
      <w:numFmt w:val="bullet"/>
      <w:lvlText w:val=""/>
      <w:lvlJc w:val="left"/>
      <w:pPr>
        <w:tabs>
          <w:tab w:val="num" w:pos="0"/>
        </w:tabs>
        <w:ind w:left="4242" w:hanging="285"/>
      </w:pPr>
      <w:rPr>
        <w:rFonts w:ascii="Symbol" w:hAnsi="Symbol" w:cs="Symbol" w:hint="default"/>
        <w:lang w:val="pl-PL" w:eastAsia="en-US" w:bidi="ar-SA"/>
      </w:rPr>
    </w:lvl>
    <w:lvl w:ilvl="5">
      <w:start w:val="1"/>
      <w:numFmt w:val="bullet"/>
      <w:lvlText w:val=""/>
      <w:lvlJc w:val="left"/>
      <w:pPr>
        <w:tabs>
          <w:tab w:val="num" w:pos="0"/>
        </w:tabs>
        <w:ind w:left="5296" w:hanging="285"/>
      </w:pPr>
      <w:rPr>
        <w:rFonts w:ascii="Symbol" w:hAnsi="Symbol" w:cs="Symbol" w:hint="default"/>
        <w:lang w:val="pl-PL" w:eastAsia="en-US" w:bidi="ar-SA"/>
      </w:rPr>
    </w:lvl>
    <w:lvl w:ilvl="6">
      <w:start w:val="1"/>
      <w:numFmt w:val="bullet"/>
      <w:lvlText w:val=""/>
      <w:lvlJc w:val="left"/>
      <w:pPr>
        <w:tabs>
          <w:tab w:val="num" w:pos="0"/>
        </w:tabs>
        <w:ind w:left="6350" w:hanging="285"/>
      </w:pPr>
      <w:rPr>
        <w:rFonts w:ascii="Symbol" w:hAnsi="Symbol" w:cs="Symbol" w:hint="default"/>
        <w:lang w:val="pl-PL" w:eastAsia="en-US" w:bidi="ar-SA"/>
      </w:rPr>
    </w:lvl>
    <w:lvl w:ilvl="7">
      <w:start w:val="1"/>
      <w:numFmt w:val="bullet"/>
      <w:lvlText w:val=""/>
      <w:lvlJc w:val="left"/>
      <w:pPr>
        <w:tabs>
          <w:tab w:val="num" w:pos="0"/>
        </w:tabs>
        <w:ind w:left="7404" w:hanging="285"/>
      </w:pPr>
      <w:rPr>
        <w:rFonts w:ascii="Symbol" w:hAnsi="Symbol" w:cs="Symbol" w:hint="default"/>
        <w:lang w:val="pl-PL" w:eastAsia="en-US" w:bidi="ar-SA"/>
      </w:rPr>
    </w:lvl>
    <w:lvl w:ilvl="8">
      <w:start w:val="1"/>
      <w:numFmt w:val="bullet"/>
      <w:lvlText w:val=""/>
      <w:lvlJc w:val="left"/>
      <w:pPr>
        <w:tabs>
          <w:tab w:val="num" w:pos="0"/>
        </w:tabs>
        <w:ind w:left="8458" w:hanging="285"/>
      </w:pPr>
      <w:rPr>
        <w:rFonts w:ascii="Symbol" w:hAnsi="Symbol" w:cs="Symbol" w:hint="default"/>
        <w:lang w:val="pl-PL" w:eastAsia="en-US" w:bidi="ar-SA"/>
      </w:rPr>
    </w:lvl>
  </w:abstractNum>
  <w:abstractNum w:abstractNumId="35">
    <w:lvl w:ilvl="0">
      <w:start w:val="1"/>
      <w:numFmt w:val="decimal"/>
      <w:lvlText w:val="%1."/>
      <w:lvlJc w:val="left"/>
      <w:pPr>
        <w:tabs>
          <w:tab w:val="num" w:pos="0"/>
        </w:tabs>
        <w:ind w:left="803" w:hanging="283"/>
      </w:pPr>
      <w:rPr>
        <w:rFonts w:ascii="Times New Roman" w:hAnsi="Times New Roman"/>
        <w:spacing w:val="-1"/>
        <w:w w:val="98"/>
        <w:lang w:val="pl-PL" w:eastAsia="en-US" w:bidi="ar-SA"/>
      </w:rPr>
    </w:lvl>
    <w:lvl w:ilvl="1">
      <w:start w:val="1"/>
      <w:numFmt w:val="bullet"/>
      <w:lvlText w:val="-"/>
      <w:lvlJc w:val="left"/>
      <w:pPr>
        <w:tabs>
          <w:tab w:val="num" w:pos="0"/>
        </w:tabs>
        <w:ind w:left="1084" w:hanging="285"/>
      </w:pPr>
      <w:rPr>
        <w:rFonts w:ascii="Arial" w:hAnsi="Arial" w:cs="Arial" w:hint="default"/>
        <w:spacing w:val="0"/>
        <w:w w:val="99"/>
        <w:lang w:val="pl-PL" w:eastAsia="en-US" w:bidi="ar-SA"/>
      </w:rPr>
    </w:lvl>
    <w:lvl w:ilvl="2">
      <w:start w:val="1"/>
      <w:numFmt w:val="bullet"/>
      <w:lvlText w:val=""/>
      <w:lvlJc w:val="left"/>
      <w:pPr>
        <w:tabs>
          <w:tab w:val="num" w:pos="0"/>
        </w:tabs>
        <w:ind w:left="2134" w:hanging="285"/>
      </w:pPr>
      <w:rPr>
        <w:rFonts w:ascii="Symbol" w:hAnsi="Symbol" w:cs="Symbol" w:hint="default"/>
        <w:lang w:val="pl-PL" w:eastAsia="en-US" w:bidi="ar-SA"/>
      </w:rPr>
    </w:lvl>
    <w:lvl w:ilvl="3">
      <w:start w:val="1"/>
      <w:numFmt w:val="bullet"/>
      <w:lvlText w:val=""/>
      <w:lvlJc w:val="left"/>
      <w:pPr>
        <w:tabs>
          <w:tab w:val="num" w:pos="0"/>
        </w:tabs>
        <w:ind w:left="3188" w:hanging="285"/>
      </w:pPr>
      <w:rPr>
        <w:rFonts w:ascii="Symbol" w:hAnsi="Symbol" w:cs="Symbol" w:hint="default"/>
        <w:lang w:val="pl-PL" w:eastAsia="en-US" w:bidi="ar-SA"/>
      </w:rPr>
    </w:lvl>
    <w:lvl w:ilvl="4">
      <w:start w:val="1"/>
      <w:numFmt w:val="bullet"/>
      <w:lvlText w:val=""/>
      <w:lvlJc w:val="left"/>
      <w:pPr>
        <w:tabs>
          <w:tab w:val="num" w:pos="0"/>
        </w:tabs>
        <w:ind w:left="4242" w:hanging="285"/>
      </w:pPr>
      <w:rPr>
        <w:rFonts w:ascii="Symbol" w:hAnsi="Symbol" w:cs="Symbol" w:hint="default"/>
        <w:lang w:val="pl-PL" w:eastAsia="en-US" w:bidi="ar-SA"/>
      </w:rPr>
    </w:lvl>
    <w:lvl w:ilvl="5">
      <w:start w:val="1"/>
      <w:numFmt w:val="bullet"/>
      <w:lvlText w:val=""/>
      <w:lvlJc w:val="left"/>
      <w:pPr>
        <w:tabs>
          <w:tab w:val="num" w:pos="0"/>
        </w:tabs>
        <w:ind w:left="5296" w:hanging="285"/>
      </w:pPr>
      <w:rPr>
        <w:rFonts w:ascii="Symbol" w:hAnsi="Symbol" w:cs="Symbol" w:hint="default"/>
        <w:lang w:val="pl-PL" w:eastAsia="en-US" w:bidi="ar-SA"/>
      </w:rPr>
    </w:lvl>
    <w:lvl w:ilvl="6">
      <w:start w:val="1"/>
      <w:numFmt w:val="bullet"/>
      <w:lvlText w:val=""/>
      <w:lvlJc w:val="left"/>
      <w:pPr>
        <w:tabs>
          <w:tab w:val="num" w:pos="0"/>
        </w:tabs>
        <w:ind w:left="6350" w:hanging="285"/>
      </w:pPr>
      <w:rPr>
        <w:rFonts w:ascii="Symbol" w:hAnsi="Symbol" w:cs="Symbol" w:hint="default"/>
        <w:lang w:val="pl-PL" w:eastAsia="en-US" w:bidi="ar-SA"/>
      </w:rPr>
    </w:lvl>
    <w:lvl w:ilvl="7">
      <w:start w:val="1"/>
      <w:numFmt w:val="bullet"/>
      <w:lvlText w:val=""/>
      <w:lvlJc w:val="left"/>
      <w:pPr>
        <w:tabs>
          <w:tab w:val="num" w:pos="0"/>
        </w:tabs>
        <w:ind w:left="7404" w:hanging="285"/>
      </w:pPr>
      <w:rPr>
        <w:rFonts w:ascii="Symbol" w:hAnsi="Symbol" w:cs="Symbol" w:hint="default"/>
        <w:lang w:val="pl-PL" w:eastAsia="en-US" w:bidi="ar-SA"/>
      </w:rPr>
    </w:lvl>
    <w:lvl w:ilvl="8">
      <w:start w:val="1"/>
      <w:numFmt w:val="bullet"/>
      <w:lvlText w:val=""/>
      <w:lvlJc w:val="left"/>
      <w:pPr>
        <w:tabs>
          <w:tab w:val="num" w:pos="0"/>
        </w:tabs>
        <w:ind w:left="8458" w:hanging="285"/>
      </w:pPr>
      <w:rPr>
        <w:rFonts w:ascii="Symbol" w:hAnsi="Symbol" w:cs="Symbol" w:hint="default"/>
        <w:lang w:val="pl-PL" w:eastAsia="en-US" w:bidi="ar-SA"/>
      </w:rPr>
    </w:lvl>
  </w:abstractNum>
  <w:abstractNum w:abstractNumId="36">
    <w:lvl w:ilvl="0">
      <w:start w:val="1"/>
      <w:numFmt w:val="decimal"/>
      <w:lvlText w:val="%1."/>
      <w:lvlJc w:val="left"/>
      <w:pPr>
        <w:tabs>
          <w:tab w:val="num" w:pos="0"/>
        </w:tabs>
        <w:ind w:left="803" w:hanging="283"/>
      </w:pPr>
      <w:rPr>
        <w:rFonts w:ascii="Times New Roman" w:hAnsi="Times New Roman"/>
        <w:spacing w:val="-1"/>
        <w:w w:val="98"/>
        <w:lang w:val="pl-PL" w:eastAsia="en-US" w:bidi="ar-SA"/>
      </w:rPr>
    </w:lvl>
    <w:lvl w:ilvl="1">
      <w:start w:val="1"/>
      <w:numFmt w:val="bullet"/>
      <w:lvlText w:val="-"/>
      <w:lvlJc w:val="left"/>
      <w:pPr>
        <w:tabs>
          <w:tab w:val="num" w:pos="0"/>
        </w:tabs>
        <w:ind w:left="1084" w:hanging="285"/>
      </w:pPr>
      <w:rPr>
        <w:rFonts w:ascii="Arial" w:hAnsi="Arial" w:cs="Arial" w:hint="default"/>
        <w:spacing w:val="0"/>
        <w:w w:val="99"/>
        <w:lang w:val="pl-PL" w:eastAsia="en-US" w:bidi="ar-SA"/>
      </w:rPr>
    </w:lvl>
    <w:lvl w:ilvl="2">
      <w:start w:val="1"/>
      <w:numFmt w:val="bullet"/>
      <w:lvlText w:val=""/>
      <w:lvlJc w:val="left"/>
      <w:pPr>
        <w:tabs>
          <w:tab w:val="num" w:pos="0"/>
        </w:tabs>
        <w:ind w:left="2134" w:hanging="285"/>
      </w:pPr>
      <w:rPr>
        <w:rFonts w:ascii="Symbol" w:hAnsi="Symbol" w:cs="Symbol" w:hint="default"/>
        <w:lang w:val="pl-PL" w:eastAsia="en-US" w:bidi="ar-SA"/>
      </w:rPr>
    </w:lvl>
    <w:lvl w:ilvl="3">
      <w:start w:val="1"/>
      <w:numFmt w:val="bullet"/>
      <w:lvlText w:val=""/>
      <w:lvlJc w:val="left"/>
      <w:pPr>
        <w:tabs>
          <w:tab w:val="num" w:pos="0"/>
        </w:tabs>
        <w:ind w:left="3188" w:hanging="285"/>
      </w:pPr>
      <w:rPr>
        <w:rFonts w:ascii="Symbol" w:hAnsi="Symbol" w:cs="Symbol" w:hint="default"/>
        <w:lang w:val="pl-PL" w:eastAsia="en-US" w:bidi="ar-SA"/>
      </w:rPr>
    </w:lvl>
    <w:lvl w:ilvl="4">
      <w:start w:val="1"/>
      <w:numFmt w:val="bullet"/>
      <w:lvlText w:val=""/>
      <w:lvlJc w:val="left"/>
      <w:pPr>
        <w:tabs>
          <w:tab w:val="num" w:pos="0"/>
        </w:tabs>
        <w:ind w:left="4242" w:hanging="285"/>
      </w:pPr>
      <w:rPr>
        <w:rFonts w:ascii="Symbol" w:hAnsi="Symbol" w:cs="Symbol" w:hint="default"/>
        <w:lang w:val="pl-PL" w:eastAsia="en-US" w:bidi="ar-SA"/>
      </w:rPr>
    </w:lvl>
    <w:lvl w:ilvl="5">
      <w:start w:val="1"/>
      <w:numFmt w:val="bullet"/>
      <w:lvlText w:val=""/>
      <w:lvlJc w:val="left"/>
      <w:pPr>
        <w:tabs>
          <w:tab w:val="num" w:pos="0"/>
        </w:tabs>
        <w:ind w:left="5296" w:hanging="285"/>
      </w:pPr>
      <w:rPr>
        <w:rFonts w:ascii="Symbol" w:hAnsi="Symbol" w:cs="Symbol" w:hint="default"/>
        <w:lang w:val="pl-PL" w:eastAsia="en-US" w:bidi="ar-SA"/>
      </w:rPr>
    </w:lvl>
    <w:lvl w:ilvl="6">
      <w:start w:val="1"/>
      <w:numFmt w:val="bullet"/>
      <w:lvlText w:val=""/>
      <w:lvlJc w:val="left"/>
      <w:pPr>
        <w:tabs>
          <w:tab w:val="num" w:pos="0"/>
        </w:tabs>
        <w:ind w:left="6350" w:hanging="285"/>
      </w:pPr>
      <w:rPr>
        <w:rFonts w:ascii="Symbol" w:hAnsi="Symbol" w:cs="Symbol" w:hint="default"/>
        <w:lang w:val="pl-PL" w:eastAsia="en-US" w:bidi="ar-SA"/>
      </w:rPr>
    </w:lvl>
    <w:lvl w:ilvl="7">
      <w:start w:val="1"/>
      <w:numFmt w:val="bullet"/>
      <w:lvlText w:val=""/>
      <w:lvlJc w:val="left"/>
      <w:pPr>
        <w:tabs>
          <w:tab w:val="num" w:pos="0"/>
        </w:tabs>
        <w:ind w:left="7404" w:hanging="285"/>
      </w:pPr>
      <w:rPr>
        <w:rFonts w:ascii="Symbol" w:hAnsi="Symbol" w:cs="Symbol" w:hint="default"/>
        <w:lang w:val="pl-PL" w:eastAsia="en-US" w:bidi="ar-SA"/>
      </w:rPr>
    </w:lvl>
    <w:lvl w:ilvl="8">
      <w:start w:val="1"/>
      <w:numFmt w:val="bullet"/>
      <w:lvlText w:val=""/>
      <w:lvlJc w:val="left"/>
      <w:pPr>
        <w:tabs>
          <w:tab w:val="num" w:pos="0"/>
        </w:tabs>
        <w:ind w:left="8458" w:hanging="285"/>
      </w:pPr>
      <w:rPr>
        <w:rFonts w:ascii="Symbol" w:hAnsi="Symbol" w:cs="Symbol" w:hint="default"/>
        <w:lang w:val="pl-PL" w:eastAsia="en-US" w:bidi="ar-SA"/>
      </w:rPr>
    </w:lvl>
  </w:abstractNum>
  <w:abstractNum w:abstractNumId="37">
    <w:lvl w:ilvl="0">
      <w:start w:val="1"/>
      <w:numFmt w:val="decimal"/>
      <w:lvlText w:val="%1."/>
      <w:lvlJc w:val="left"/>
      <w:pPr>
        <w:tabs>
          <w:tab w:val="num" w:pos="0"/>
        </w:tabs>
        <w:ind w:left="803" w:hanging="283"/>
      </w:pPr>
      <w:rPr>
        <w:rFonts w:ascii="Times New Roman" w:hAnsi="Times New Roman"/>
        <w:spacing w:val="-1"/>
        <w:w w:val="98"/>
        <w:lang w:val="pl-PL" w:eastAsia="en-US" w:bidi="ar-SA"/>
      </w:rPr>
    </w:lvl>
    <w:lvl w:ilvl="1">
      <w:start w:val="1"/>
      <w:numFmt w:val="bullet"/>
      <w:lvlText w:val="-"/>
      <w:lvlJc w:val="left"/>
      <w:pPr>
        <w:tabs>
          <w:tab w:val="num" w:pos="0"/>
        </w:tabs>
        <w:ind w:left="1084" w:hanging="285"/>
      </w:pPr>
      <w:rPr>
        <w:rFonts w:ascii="Arial" w:hAnsi="Arial" w:cs="Arial" w:hint="default"/>
        <w:spacing w:val="0"/>
        <w:w w:val="99"/>
        <w:lang w:val="pl-PL" w:eastAsia="en-US" w:bidi="ar-SA"/>
      </w:rPr>
    </w:lvl>
    <w:lvl w:ilvl="2">
      <w:start w:val="1"/>
      <w:numFmt w:val="bullet"/>
      <w:lvlText w:val=""/>
      <w:lvlJc w:val="left"/>
      <w:pPr>
        <w:tabs>
          <w:tab w:val="num" w:pos="0"/>
        </w:tabs>
        <w:ind w:left="2134" w:hanging="285"/>
      </w:pPr>
      <w:rPr>
        <w:rFonts w:ascii="Symbol" w:hAnsi="Symbol" w:cs="Symbol" w:hint="default"/>
        <w:lang w:val="pl-PL" w:eastAsia="en-US" w:bidi="ar-SA"/>
      </w:rPr>
    </w:lvl>
    <w:lvl w:ilvl="3">
      <w:start w:val="1"/>
      <w:numFmt w:val="bullet"/>
      <w:lvlText w:val=""/>
      <w:lvlJc w:val="left"/>
      <w:pPr>
        <w:tabs>
          <w:tab w:val="num" w:pos="0"/>
        </w:tabs>
        <w:ind w:left="3188" w:hanging="285"/>
      </w:pPr>
      <w:rPr>
        <w:rFonts w:ascii="Symbol" w:hAnsi="Symbol" w:cs="Symbol" w:hint="default"/>
        <w:lang w:val="pl-PL" w:eastAsia="en-US" w:bidi="ar-SA"/>
      </w:rPr>
    </w:lvl>
    <w:lvl w:ilvl="4">
      <w:start w:val="1"/>
      <w:numFmt w:val="bullet"/>
      <w:lvlText w:val=""/>
      <w:lvlJc w:val="left"/>
      <w:pPr>
        <w:tabs>
          <w:tab w:val="num" w:pos="0"/>
        </w:tabs>
        <w:ind w:left="4242" w:hanging="285"/>
      </w:pPr>
      <w:rPr>
        <w:rFonts w:ascii="Symbol" w:hAnsi="Symbol" w:cs="Symbol" w:hint="default"/>
        <w:lang w:val="pl-PL" w:eastAsia="en-US" w:bidi="ar-SA"/>
      </w:rPr>
    </w:lvl>
    <w:lvl w:ilvl="5">
      <w:start w:val="1"/>
      <w:numFmt w:val="bullet"/>
      <w:lvlText w:val=""/>
      <w:lvlJc w:val="left"/>
      <w:pPr>
        <w:tabs>
          <w:tab w:val="num" w:pos="0"/>
        </w:tabs>
        <w:ind w:left="5296" w:hanging="285"/>
      </w:pPr>
      <w:rPr>
        <w:rFonts w:ascii="Symbol" w:hAnsi="Symbol" w:cs="Symbol" w:hint="default"/>
        <w:lang w:val="pl-PL" w:eastAsia="en-US" w:bidi="ar-SA"/>
      </w:rPr>
    </w:lvl>
    <w:lvl w:ilvl="6">
      <w:start w:val="1"/>
      <w:numFmt w:val="bullet"/>
      <w:lvlText w:val=""/>
      <w:lvlJc w:val="left"/>
      <w:pPr>
        <w:tabs>
          <w:tab w:val="num" w:pos="0"/>
        </w:tabs>
        <w:ind w:left="6350" w:hanging="285"/>
      </w:pPr>
      <w:rPr>
        <w:rFonts w:ascii="Symbol" w:hAnsi="Symbol" w:cs="Symbol" w:hint="default"/>
        <w:lang w:val="pl-PL" w:eastAsia="en-US" w:bidi="ar-SA"/>
      </w:rPr>
    </w:lvl>
    <w:lvl w:ilvl="7">
      <w:start w:val="1"/>
      <w:numFmt w:val="bullet"/>
      <w:lvlText w:val=""/>
      <w:lvlJc w:val="left"/>
      <w:pPr>
        <w:tabs>
          <w:tab w:val="num" w:pos="0"/>
        </w:tabs>
        <w:ind w:left="7404" w:hanging="285"/>
      </w:pPr>
      <w:rPr>
        <w:rFonts w:ascii="Symbol" w:hAnsi="Symbol" w:cs="Symbol" w:hint="default"/>
        <w:lang w:val="pl-PL" w:eastAsia="en-US" w:bidi="ar-SA"/>
      </w:rPr>
    </w:lvl>
    <w:lvl w:ilvl="8">
      <w:start w:val="1"/>
      <w:numFmt w:val="bullet"/>
      <w:lvlText w:val=""/>
      <w:lvlJc w:val="left"/>
      <w:pPr>
        <w:tabs>
          <w:tab w:val="num" w:pos="0"/>
        </w:tabs>
        <w:ind w:left="8458" w:hanging="285"/>
      </w:pPr>
      <w:rPr>
        <w:rFonts w:ascii="Symbol" w:hAnsi="Symbol" w:cs="Symbol" w:hint="default"/>
        <w:lang w:val="pl-PL" w:eastAsia="en-US" w:bidi="ar-SA"/>
      </w:rPr>
    </w:lvl>
  </w:abstractNum>
  <w:abstractNum w:abstractNumId="38">
    <w:lvl w:ilvl="0">
      <w:start w:val="1"/>
      <w:numFmt w:val="decimal"/>
      <w:lvlText w:val="%1."/>
      <w:lvlJc w:val="left"/>
      <w:pPr>
        <w:tabs>
          <w:tab w:val="num" w:pos="0"/>
        </w:tabs>
        <w:ind w:left="803" w:hanging="283"/>
      </w:pPr>
      <w:rPr>
        <w:rFonts w:ascii="Times New Roman" w:hAnsi="Times New Roman"/>
        <w:spacing w:val="-1"/>
        <w:w w:val="98"/>
        <w:lang w:val="pl-PL" w:eastAsia="en-US" w:bidi="ar-SA"/>
      </w:rPr>
    </w:lvl>
    <w:lvl w:ilvl="1">
      <w:start w:val="1"/>
      <w:numFmt w:val="bullet"/>
      <w:lvlText w:val="-"/>
      <w:lvlJc w:val="left"/>
      <w:pPr>
        <w:tabs>
          <w:tab w:val="num" w:pos="0"/>
        </w:tabs>
        <w:ind w:left="1084" w:hanging="285"/>
      </w:pPr>
      <w:rPr>
        <w:rFonts w:ascii="Arial" w:hAnsi="Arial" w:cs="Arial" w:hint="default"/>
        <w:spacing w:val="0"/>
        <w:w w:val="99"/>
        <w:lang w:val="pl-PL" w:eastAsia="en-US" w:bidi="ar-SA"/>
      </w:rPr>
    </w:lvl>
    <w:lvl w:ilvl="2">
      <w:start w:val="1"/>
      <w:numFmt w:val="bullet"/>
      <w:lvlText w:val=""/>
      <w:lvlJc w:val="left"/>
      <w:pPr>
        <w:tabs>
          <w:tab w:val="num" w:pos="0"/>
        </w:tabs>
        <w:ind w:left="2134" w:hanging="285"/>
      </w:pPr>
      <w:rPr>
        <w:rFonts w:ascii="Symbol" w:hAnsi="Symbol" w:cs="Symbol" w:hint="default"/>
        <w:lang w:val="pl-PL" w:eastAsia="en-US" w:bidi="ar-SA"/>
      </w:rPr>
    </w:lvl>
    <w:lvl w:ilvl="3">
      <w:start w:val="1"/>
      <w:numFmt w:val="bullet"/>
      <w:lvlText w:val=""/>
      <w:lvlJc w:val="left"/>
      <w:pPr>
        <w:tabs>
          <w:tab w:val="num" w:pos="0"/>
        </w:tabs>
        <w:ind w:left="3188" w:hanging="285"/>
      </w:pPr>
      <w:rPr>
        <w:rFonts w:ascii="Symbol" w:hAnsi="Symbol" w:cs="Symbol" w:hint="default"/>
        <w:lang w:val="pl-PL" w:eastAsia="en-US" w:bidi="ar-SA"/>
      </w:rPr>
    </w:lvl>
    <w:lvl w:ilvl="4">
      <w:start w:val="1"/>
      <w:numFmt w:val="bullet"/>
      <w:lvlText w:val=""/>
      <w:lvlJc w:val="left"/>
      <w:pPr>
        <w:tabs>
          <w:tab w:val="num" w:pos="0"/>
        </w:tabs>
        <w:ind w:left="4242" w:hanging="285"/>
      </w:pPr>
      <w:rPr>
        <w:rFonts w:ascii="Symbol" w:hAnsi="Symbol" w:cs="Symbol" w:hint="default"/>
        <w:lang w:val="pl-PL" w:eastAsia="en-US" w:bidi="ar-SA"/>
      </w:rPr>
    </w:lvl>
    <w:lvl w:ilvl="5">
      <w:start w:val="1"/>
      <w:numFmt w:val="bullet"/>
      <w:lvlText w:val=""/>
      <w:lvlJc w:val="left"/>
      <w:pPr>
        <w:tabs>
          <w:tab w:val="num" w:pos="0"/>
        </w:tabs>
        <w:ind w:left="5296" w:hanging="285"/>
      </w:pPr>
      <w:rPr>
        <w:rFonts w:ascii="Symbol" w:hAnsi="Symbol" w:cs="Symbol" w:hint="default"/>
        <w:lang w:val="pl-PL" w:eastAsia="en-US" w:bidi="ar-SA"/>
      </w:rPr>
    </w:lvl>
    <w:lvl w:ilvl="6">
      <w:start w:val="1"/>
      <w:numFmt w:val="bullet"/>
      <w:lvlText w:val=""/>
      <w:lvlJc w:val="left"/>
      <w:pPr>
        <w:tabs>
          <w:tab w:val="num" w:pos="0"/>
        </w:tabs>
        <w:ind w:left="6350" w:hanging="285"/>
      </w:pPr>
      <w:rPr>
        <w:rFonts w:ascii="Symbol" w:hAnsi="Symbol" w:cs="Symbol" w:hint="default"/>
        <w:lang w:val="pl-PL" w:eastAsia="en-US" w:bidi="ar-SA"/>
      </w:rPr>
    </w:lvl>
    <w:lvl w:ilvl="7">
      <w:start w:val="1"/>
      <w:numFmt w:val="bullet"/>
      <w:lvlText w:val=""/>
      <w:lvlJc w:val="left"/>
      <w:pPr>
        <w:tabs>
          <w:tab w:val="num" w:pos="0"/>
        </w:tabs>
        <w:ind w:left="7404" w:hanging="285"/>
      </w:pPr>
      <w:rPr>
        <w:rFonts w:ascii="Symbol" w:hAnsi="Symbol" w:cs="Symbol" w:hint="default"/>
        <w:lang w:val="pl-PL" w:eastAsia="en-US" w:bidi="ar-SA"/>
      </w:rPr>
    </w:lvl>
    <w:lvl w:ilvl="8">
      <w:start w:val="1"/>
      <w:numFmt w:val="bullet"/>
      <w:lvlText w:val=""/>
      <w:lvlJc w:val="left"/>
      <w:pPr>
        <w:tabs>
          <w:tab w:val="num" w:pos="0"/>
        </w:tabs>
        <w:ind w:left="8458" w:hanging="285"/>
      </w:pPr>
      <w:rPr>
        <w:rFonts w:ascii="Symbol" w:hAnsi="Symbol" w:cs="Symbol" w:hint="default"/>
        <w:lang w:val="pl-PL" w:eastAsia="en-US" w:bidi="ar-SA"/>
      </w:rPr>
    </w:lvl>
  </w:abstractNum>
  <w:abstractNum w:abstractNumId="39">
    <w:lvl w:ilvl="0">
      <w:start w:val="1"/>
      <w:numFmt w:val="decimal"/>
      <w:lvlText w:val="%1."/>
      <w:lvlJc w:val="left"/>
      <w:pPr>
        <w:tabs>
          <w:tab w:val="num" w:pos="0"/>
        </w:tabs>
        <w:ind w:left="801" w:hanging="282"/>
      </w:pPr>
      <w:rPr>
        <w:rFonts w:ascii="Times New Roman" w:hAnsi="Times New Roman" w:eastAsia="Arial" w:cs="Arial"/>
        <w:b w:val="false"/>
        <w:bCs w:val="false"/>
        <w:i w:val="false"/>
        <w:iCs w:val="false"/>
        <w:color w:val="010101"/>
        <w:spacing w:val="-1"/>
        <w:w w:val="103"/>
        <w:sz w:val="23"/>
        <w:szCs w:val="23"/>
        <w:lang w:val="pl-PL" w:eastAsia="en-US" w:bidi="ar-SA"/>
      </w:rPr>
    </w:lvl>
    <w:lvl w:ilvl="1">
      <w:start w:val="1"/>
      <w:numFmt w:val="bullet"/>
      <w:lvlText w:val=""/>
      <w:lvlJc w:val="left"/>
      <w:pPr>
        <w:tabs>
          <w:tab w:val="num" w:pos="0"/>
        </w:tabs>
        <w:ind w:left="1776" w:hanging="282"/>
      </w:pPr>
      <w:rPr>
        <w:rFonts w:ascii="Symbol" w:hAnsi="Symbol" w:cs="Symbol" w:hint="default"/>
        <w:lang w:val="pl-PL" w:eastAsia="en-US" w:bidi="ar-SA"/>
      </w:rPr>
    </w:lvl>
    <w:lvl w:ilvl="2">
      <w:start w:val="1"/>
      <w:numFmt w:val="bullet"/>
      <w:lvlText w:val=""/>
      <w:lvlJc w:val="left"/>
      <w:pPr>
        <w:tabs>
          <w:tab w:val="num" w:pos="0"/>
        </w:tabs>
        <w:ind w:left="2753" w:hanging="282"/>
      </w:pPr>
      <w:rPr>
        <w:rFonts w:ascii="Symbol" w:hAnsi="Symbol" w:cs="Symbol" w:hint="default"/>
        <w:lang w:val="pl-PL" w:eastAsia="en-US" w:bidi="ar-SA"/>
      </w:rPr>
    </w:lvl>
    <w:lvl w:ilvl="3">
      <w:start w:val="1"/>
      <w:numFmt w:val="bullet"/>
      <w:lvlText w:val=""/>
      <w:lvlJc w:val="left"/>
      <w:pPr>
        <w:tabs>
          <w:tab w:val="num" w:pos="0"/>
        </w:tabs>
        <w:ind w:left="3729" w:hanging="282"/>
      </w:pPr>
      <w:rPr>
        <w:rFonts w:ascii="Symbol" w:hAnsi="Symbol" w:cs="Symbol" w:hint="default"/>
        <w:lang w:val="pl-PL" w:eastAsia="en-US" w:bidi="ar-SA"/>
      </w:rPr>
    </w:lvl>
    <w:lvl w:ilvl="4">
      <w:start w:val="1"/>
      <w:numFmt w:val="bullet"/>
      <w:lvlText w:val=""/>
      <w:lvlJc w:val="left"/>
      <w:pPr>
        <w:tabs>
          <w:tab w:val="num" w:pos="0"/>
        </w:tabs>
        <w:ind w:left="4706" w:hanging="282"/>
      </w:pPr>
      <w:rPr>
        <w:rFonts w:ascii="Symbol" w:hAnsi="Symbol" w:cs="Symbol" w:hint="default"/>
        <w:lang w:val="pl-PL" w:eastAsia="en-US" w:bidi="ar-SA"/>
      </w:rPr>
    </w:lvl>
    <w:lvl w:ilvl="5">
      <w:start w:val="1"/>
      <w:numFmt w:val="bullet"/>
      <w:lvlText w:val=""/>
      <w:lvlJc w:val="left"/>
      <w:pPr>
        <w:tabs>
          <w:tab w:val="num" w:pos="0"/>
        </w:tabs>
        <w:ind w:left="5683" w:hanging="282"/>
      </w:pPr>
      <w:rPr>
        <w:rFonts w:ascii="Symbol" w:hAnsi="Symbol" w:cs="Symbol" w:hint="default"/>
        <w:lang w:val="pl-PL" w:eastAsia="en-US" w:bidi="ar-SA"/>
      </w:rPr>
    </w:lvl>
    <w:lvl w:ilvl="6">
      <w:start w:val="1"/>
      <w:numFmt w:val="bullet"/>
      <w:lvlText w:val=""/>
      <w:lvlJc w:val="left"/>
      <w:pPr>
        <w:tabs>
          <w:tab w:val="num" w:pos="0"/>
        </w:tabs>
        <w:ind w:left="6659" w:hanging="282"/>
      </w:pPr>
      <w:rPr>
        <w:rFonts w:ascii="Symbol" w:hAnsi="Symbol" w:cs="Symbol" w:hint="default"/>
        <w:lang w:val="pl-PL" w:eastAsia="en-US" w:bidi="ar-SA"/>
      </w:rPr>
    </w:lvl>
    <w:lvl w:ilvl="7">
      <w:start w:val="1"/>
      <w:numFmt w:val="bullet"/>
      <w:lvlText w:val=""/>
      <w:lvlJc w:val="left"/>
      <w:pPr>
        <w:tabs>
          <w:tab w:val="num" w:pos="0"/>
        </w:tabs>
        <w:ind w:left="7636" w:hanging="282"/>
      </w:pPr>
      <w:rPr>
        <w:rFonts w:ascii="Symbol" w:hAnsi="Symbol" w:cs="Symbol" w:hint="default"/>
        <w:lang w:val="pl-PL" w:eastAsia="en-US" w:bidi="ar-SA"/>
      </w:rPr>
    </w:lvl>
    <w:lvl w:ilvl="8">
      <w:start w:val="1"/>
      <w:numFmt w:val="bullet"/>
      <w:lvlText w:val=""/>
      <w:lvlJc w:val="left"/>
      <w:pPr>
        <w:tabs>
          <w:tab w:val="num" w:pos="0"/>
        </w:tabs>
        <w:ind w:left="8613" w:hanging="282"/>
      </w:pPr>
      <w:rPr>
        <w:rFonts w:ascii="Symbol" w:hAnsi="Symbol" w:cs="Symbol" w:hint="default"/>
        <w:lang w:val="pl-PL" w:eastAsia="en-US" w:bidi="ar-SA"/>
      </w:rPr>
    </w:lvl>
  </w:abstractNum>
  <w:abstractNum w:abstractNumId="40">
    <w:lvl w:ilvl="0">
      <w:start w:val="1"/>
      <w:numFmt w:val="decimal"/>
      <w:lvlText w:val="%1."/>
      <w:lvlJc w:val="left"/>
      <w:pPr>
        <w:tabs>
          <w:tab w:val="num" w:pos="0"/>
        </w:tabs>
        <w:ind w:left="801" w:hanging="282"/>
      </w:pPr>
      <w:rPr>
        <w:rFonts w:ascii="Times New Roman" w:hAnsi="Times New Roman" w:eastAsia="Arial" w:cs="Arial"/>
        <w:b w:val="false"/>
        <w:bCs w:val="false"/>
        <w:i w:val="false"/>
        <w:iCs w:val="false"/>
        <w:color w:val="010101"/>
        <w:spacing w:val="-1"/>
        <w:w w:val="103"/>
        <w:sz w:val="23"/>
        <w:szCs w:val="23"/>
        <w:lang w:val="pl-PL" w:eastAsia="en-US" w:bidi="ar-SA"/>
      </w:rPr>
    </w:lvl>
    <w:lvl w:ilvl="1">
      <w:start w:val="1"/>
      <w:numFmt w:val="bullet"/>
      <w:lvlText w:val=""/>
      <w:lvlJc w:val="left"/>
      <w:pPr>
        <w:tabs>
          <w:tab w:val="num" w:pos="0"/>
        </w:tabs>
        <w:ind w:left="1776" w:hanging="282"/>
      </w:pPr>
      <w:rPr>
        <w:rFonts w:ascii="Symbol" w:hAnsi="Symbol" w:cs="Symbol" w:hint="default"/>
        <w:lang w:val="pl-PL" w:eastAsia="en-US" w:bidi="ar-SA"/>
      </w:rPr>
    </w:lvl>
    <w:lvl w:ilvl="2">
      <w:start w:val="1"/>
      <w:numFmt w:val="bullet"/>
      <w:lvlText w:val=""/>
      <w:lvlJc w:val="left"/>
      <w:pPr>
        <w:tabs>
          <w:tab w:val="num" w:pos="0"/>
        </w:tabs>
        <w:ind w:left="2753" w:hanging="282"/>
      </w:pPr>
      <w:rPr>
        <w:rFonts w:ascii="Symbol" w:hAnsi="Symbol" w:cs="Symbol" w:hint="default"/>
        <w:lang w:val="pl-PL" w:eastAsia="en-US" w:bidi="ar-SA"/>
      </w:rPr>
    </w:lvl>
    <w:lvl w:ilvl="3">
      <w:start w:val="1"/>
      <w:numFmt w:val="bullet"/>
      <w:lvlText w:val=""/>
      <w:lvlJc w:val="left"/>
      <w:pPr>
        <w:tabs>
          <w:tab w:val="num" w:pos="0"/>
        </w:tabs>
        <w:ind w:left="3729" w:hanging="282"/>
      </w:pPr>
      <w:rPr>
        <w:rFonts w:ascii="Symbol" w:hAnsi="Symbol" w:cs="Symbol" w:hint="default"/>
        <w:lang w:val="pl-PL" w:eastAsia="en-US" w:bidi="ar-SA"/>
      </w:rPr>
    </w:lvl>
    <w:lvl w:ilvl="4">
      <w:start w:val="1"/>
      <w:numFmt w:val="bullet"/>
      <w:lvlText w:val=""/>
      <w:lvlJc w:val="left"/>
      <w:pPr>
        <w:tabs>
          <w:tab w:val="num" w:pos="0"/>
        </w:tabs>
        <w:ind w:left="4706" w:hanging="282"/>
      </w:pPr>
      <w:rPr>
        <w:rFonts w:ascii="Symbol" w:hAnsi="Symbol" w:cs="Symbol" w:hint="default"/>
        <w:lang w:val="pl-PL" w:eastAsia="en-US" w:bidi="ar-SA"/>
      </w:rPr>
    </w:lvl>
    <w:lvl w:ilvl="5">
      <w:start w:val="1"/>
      <w:numFmt w:val="bullet"/>
      <w:lvlText w:val=""/>
      <w:lvlJc w:val="left"/>
      <w:pPr>
        <w:tabs>
          <w:tab w:val="num" w:pos="0"/>
        </w:tabs>
        <w:ind w:left="5683" w:hanging="282"/>
      </w:pPr>
      <w:rPr>
        <w:rFonts w:ascii="Symbol" w:hAnsi="Symbol" w:cs="Symbol" w:hint="default"/>
        <w:lang w:val="pl-PL" w:eastAsia="en-US" w:bidi="ar-SA"/>
      </w:rPr>
    </w:lvl>
    <w:lvl w:ilvl="6">
      <w:start w:val="1"/>
      <w:numFmt w:val="bullet"/>
      <w:lvlText w:val=""/>
      <w:lvlJc w:val="left"/>
      <w:pPr>
        <w:tabs>
          <w:tab w:val="num" w:pos="0"/>
        </w:tabs>
        <w:ind w:left="6659" w:hanging="282"/>
      </w:pPr>
      <w:rPr>
        <w:rFonts w:ascii="Symbol" w:hAnsi="Symbol" w:cs="Symbol" w:hint="default"/>
        <w:lang w:val="pl-PL" w:eastAsia="en-US" w:bidi="ar-SA"/>
      </w:rPr>
    </w:lvl>
    <w:lvl w:ilvl="7">
      <w:start w:val="1"/>
      <w:numFmt w:val="bullet"/>
      <w:lvlText w:val=""/>
      <w:lvlJc w:val="left"/>
      <w:pPr>
        <w:tabs>
          <w:tab w:val="num" w:pos="0"/>
        </w:tabs>
        <w:ind w:left="7636" w:hanging="282"/>
      </w:pPr>
      <w:rPr>
        <w:rFonts w:ascii="Symbol" w:hAnsi="Symbol" w:cs="Symbol" w:hint="default"/>
        <w:lang w:val="pl-PL" w:eastAsia="en-US" w:bidi="ar-SA"/>
      </w:rPr>
    </w:lvl>
    <w:lvl w:ilvl="8">
      <w:start w:val="1"/>
      <w:numFmt w:val="bullet"/>
      <w:lvlText w:val=""/>
      <w:lvlJc w:val="left"/>
      <w:pPr>
        <w:tabs>
          <w:tab w:val="num" w:pos="0"/>
        </w:tabs>
        <w:ind w:left="8613" w:hanging="282"/>
      </w:pPr>
      <w:rPr>
        <w:rFonts w:ascii="Symbol" w:hAnsi="Symbol" w:cs="Symbol" w:hint="default"/>
        <w:lang w:val="pl-PL" w:eastAsia="en-US" w:bidi="ar-SA"/>
      </w:rPr>
    </w:lvl>
  </w:abstractNum>
  <w:abstractNum w:abstractNumId="41">
    <w:lvl w:ilvl="0">
      <w:start w:val="1"/>
      <w:numFmt w:val="decimal"/>
      <w:lvlText w:val="%1."/>
      <w:lvlJc w:val="left"/>
      <w:pPr>
        <w:tabs>
          <w:tab w:val="num" w:pos="0"/>
        </w:tabs>
        <w:ind w:left="801" w:hanging="282"/>
      </w:pPr>
      <w:rPr>
        <w:rFonts w:ascii="Times New Roman" w:hAnsi="Times New Roman" w:eastAsia="Arial" w:cs="Arial"/>
        <w:b w:val="false"/>
        <w:bCs w:val="false"/>
        <w:i w:val="false"/>
        <w:iCs w:val="false"/>
        <w:color w:val="010101"/>
        <w:spacing w:val="-1"/>
        <w:w w:val="103"/>
        <w:sz w:val="23"/>
        <w:szCs w:val="23"/>
        <w:lang w:val="pl-PL" w:eastAsia="en-US" w:bidi="ar-SA"/>
      </w:rPr>
    </w:lvl>
    <w:lvl w:ilvl="1">
      <w:start w:val="1"/>
      <w:numFmt w:val="bullet"/>
      <w:lvlText w:val=""/>
      <w:lvlJc w:val="left"/>
      <w:pPr>
        <w:tabs>
          <w:tab w:val="num" w:pos="0"/>
        </w:tabs>
        <w:ind w:left="1776" w:hanging="282"/>
      </w:pPr>
      <w:rPr>
        <w:rFonts w:ascii="Symbol" w:hAnsi="Symbol" w:cs="Symbol" w:hint="default"/>
        <w:lang w:val="pl-PL" w:eastAsia="en-US" w:bidi="ar-SA"/>
      </w:rPr>
    </w:lvl>
    <w:lvl w:ilvl="2">
      <w:start w:val="1"/>
      <w:numFmt w:val="bullet"/>
      <w:lvlText w:val=""/>
      <w:lvlJc w:val="left"/>
      <w:pPr>
        <w:tabs>
          <w:tab w:val="num" w:pos="0"/>
        </w:tabs>
        <w:ind w:left="2753" w:hanging="282"/>
      </w:pPr>
      <w:rPr>
        <w:rFonts w:ascii="Symbol" w:hAnsi="Symbol" w:cs="Symbol" w:hint="default"/>
        <w:lang w:val="pl-PL" w:eastAsia="en-US" w:bidi="ar-SA"/>
      </w:rPr>
    </w:lvl>
    <w:lvl w:ilvl="3">
      <w:start w:val="1"/>
      <w:numFmt w:val="bullet"/>
      <w:lvlText w:val=""/>
      <w:lvlJc w:val="left"/>
      <w:pPr>
        <w:tabs>
          <w:tab w:val="num" w:pos="0"/>
        </w:tabs>
        <w:ind w:left="3729" w:hanging="282"/>
      </w:pPr>
      <w:rPr>
        <w:rFonts w:ascii="Symbol" w:hAnsi="Symbol" w:cs="Symbol" w:hint="default"/>
        <w:lang w:val="pl-PL" w:eastAsia="en-US" w:bidi="ar-SA"/>
      </w:rPr>
    </w:lvl>
    <w:lvl w:ilvl="4">
      <w:start w:val="1"/>
      <w:numFmt w:val="bullet"/>
      <w:lvlText w:val=""/>
      <w:lvlJc w:val="left"/>
      <w:pPr>
        <w:tabs>
          <w:tab w:val="num" w:pos="0"/>
        </w:tabs>
        <w:ind w:left="4706" w:hanging="282"/>
      </w:pPr>
      <w:rPr>
        <w:rFonts w:ascii="Symbol" w:hAnsi="Symbol" w:cs="Symbol" w:hint="default"/>
        <w:lang w:val="pl-PL" w:eastAsia="en-US" w:bidi="ar-SA"/>
      </w:rPr>
    </w:lvl>
    <w:lvl w:ilvl="5">
      <w:start w:val="1"/>
      <w:numFmt w:val="bullet"/>
      <w:lvlText w:val=""/>
      <w:lvlJc w:val="left"/>
      <w:pPr>
        <w:tabs>
          <w:tab w:val="num" w:pos="0"/>
        </w:tabs>
        <w:ind w:left="5683" w:hanging="282"/>
      </w:pPr>
      <w:rPr>
        <w:rFonts w:ascii="Symbol" w:hAnsi="Symbol" w:cs="Symbol" w:hint="default"/>
        <w:lang w:val="pl-PL" w:eastAsia="en-US" w:bidi="ar-SA"/>
      </w:rPr>
    </w:lvl>
    <w:lvl w:ilvl="6">
      <w:start w:val="1"/>
      <w:numFmt w:val="bullet"/>
      <w:lvlText w:val=""/>
      <w:lvlJc w:val="left"/>
      <w:pPr>
        <w:tabs>
          <w:tab w:val="num" w:pos="0"/>
        </w:tabs>
        <w:ind w:left="6659" w:hanging="282"/>
      </w:pPr>
      <w:rPr>
        <w:rFonts w:ascii="Symbol" w:hAnsi="Symbol" w:cs="Symbol" w:hint="default"/>
        <w:lang w:val="pl-PL" w:eastAsia="en-US" w:bidi="ar-SA"/>
      </w:rPr>
    </w:lvl>
    <w:lvl w:ilvl="7">
      <w:start w:val="1"/>
      <w:numFmt w:val="bullet"/>
      <w:lvlText w:val=""/>
      <w:lvlJc w:val="left"/>
      <w:pPr>
        <w:tabs>
          <w:tab w:val="num" w:pos="0"/>
        </w:tabs>
        <w:ind w:left="7636" w:hanging="282"/>
      </w:pPr>
      <w:rPr>
        <w:rFonts w:ascii="Symbol" w:hAnsi="Symbol" w:cs="Symbol" w:hint="default"/>
        <w:lang w:val="pl-PL" w:eastAsia="en-US" w:bidi="ar-SA"/>
      </w:rPr>
    </w:lvl>
    <w:lvl w:ilvl="8">
      <w:start w:val="1"/>
      <w:numFmt w:val="bullet"/>
      <w:lvlText w:val=""/>
      <w:lvlJc w:val="left"/>
      <w:pPr>
        <w:tabs>
          <w:tab w:val="num" w:pos="0"/>
        </w:tabs>
        <w:ind w:left="8613" w:hanging="282"/>
      </w:pPr>
      <w:rPr>
        <w:rFonts w:ascii="Symbol" w:hAnsi="Symbol" w:cs="Symbol" w:hint="default"/>
        <w:lang w:val="pl-PL" w:eastAsia="en-US" w:bidi="ar-SA"/>
      </w:rPr>
    </w:lvl>
  </w:abstractNum>
  <w:abstractNum w:abstractNumId="42">
    <w:lvl w:ilvl="0">
      <w:start w:val="1"/>
      <w:numFmt w:val="decimal"/>
      <w:lvlText w:val="%1."/>
      <w:lvlJc w:val="left"/>
      <w:pPr>
        <w:tabs>
          <w:tab w:val="num" w:pos="0"/>
        </w:tabs>
        <w:ind w:left="801" w:hanging="282"/>
      </w:pPr>
      <w:rPr>
        <w:rFonts w:ascii="Times New Roman" w:hAnsi="Times New Roman" w:eastAsia="Arial" w:cs="Arial"/>
        <w:b w:val="false"/>
        <w:bCs w:val="false"/>
        <w:i w:val="false"/>
        <w:iCs w:val="false"/>
        <w:color w:val="010101"/>
        <w:spacing w:val="-1"/>
        <w:w w:val="103"/>
        <w:sz w:val="23"/>
        <w:szCs w:val="23"/>
        <w:lang w:val="pl-PL" w:eastAsia="en-US" w:bidi="ar-SA"/>
      </w:rPr>
    </w:lvl>
    <w:lvl w:ilvl="1">
      <w:start w:val="1"/>
      <w:numFmt w:val="bullet"/>
      <w:lvlText w:val=""/>
      <w:lvlJc w:val="left"/>
      <w:pPr>
        <w:tabs>
          <w:tab w:val="num" w:pos="0"/>
        </w:tabs>
        <w:ind w:left="1776" w:hanging="282"/>
      </w:pPr>
      <w:rPr>
        <w:rFonts w:ascii="Symbol" w:hAnsi="Symbol" w:cs="Symbol" w:hint="default"/>
        <w:lang w:val="pl-PL" w:eastAsia="en-US" w:bidi="ar-SA"/>
      </w:rPr>
    </w:lvl>
    <w:lvl w:ilvl="2">
      <w:start w:val="1"/>
      <w:numFmt w:val="bullet"/>
      <w:lvlText w:val=""/>
      <w:lvlJc w:val="left"/>
      <w:pPr>
        <w:tabs>
          <w:tab w:val="num" w:pos="0"/>
        </w:tabs>
        <w:ind w:left="2753" w:hanging="282"/>
      </w:pPr>
      <w:rPr>
        <w:rFonts w:ascii="Symbol" w:hAnsi="Symbol" w:cs="Symbol" w:hint="default"/>
        <w:lang w:val="pl-PL" w:eastAsia="en-US" w:bidi="ar-SA"/>
      </w:rPr>
    </w:lvl>
    <w:lvl w:ilvl="3">
      <w:start w:val="1"/>
      <w:numFmt w:val="bullet"/>
      <w:lvlText w:val=""/>
      <w:lvlJc w:val="left"/>
      <w:pPr>
        <w:tabs>
          <w:tab w:val="num" w:pos="0"/>
        </w:tabs>
        <w:ind w:left="3729" w:hanging="282"/>
      </w:pPr>
      <w:rPr>
        <w:rFonts w:ascii="Symbol" w:hAnsi="Symbol" w:cs="Symbol" w:hint="default"/>
        <w:lang w:val="pl-PL" w:eastAsia="en-US" w:bidi="ar-SA"/>
      </w:rPr>
    </w:lvl>
    <w:lvl w:ilvl="4">
      <w:start w:val="1"/>
      <w:numFmt w:val="bullet"/>
      <w:lvlText w:val=""/>
      <w:lvlJc w:val="left"/>
      <w:pPr>
        <w:tabs>
          <w:tab w:val="num" w:pos="0"/>
        </w:tabs>
        <w:ind w:left="4706" w:hanging="282"/>
      </w:pPr>
      <w:rPr>
        <w:rFonts w:ascii="Symbol" w:hAnsi="Symbol" w:cs="Symbol" w:hint="default"/>
        <w:lang w:val="pl-PL" w:eastAsia="en-US" w:bidi="ar-SA"/>
      </w:rPr>
    </w:lvl>
    <w:lvl w:ilvl="5">
      <w:start w:val="1"/>
      <w:numFmt w:val="bullet"/>
      <w:lvlText w:val=""/>
      <w:lvlJc w:val="left"/>
      <w:pPr>
        <w:tabs>
          <w:tab w:val="num" w:pos="0"/>
        </w:tabs>
        <w:ind w:left="5683" w:hanging="282"/>
      </w:pPr>
      <w:rPr>
        <w:rFonts w:ascii="Symbol" w:hAnsi="Symbol" w:cs="Symbol" w:hint="default"/>
        <w:lang w:val="pl-PL" w:eastAsia="en-US" w:bidi="ar-SA"/>
      </w:rPr>
    </w:lvl>
    <w:lvl w:ilvl="6">
      <w:start w:val="1"/>
      <w:numFmt w:val="bullet"/>
      <w:lvlText w:val=""/>
      <w:lvlJc w:val="left"/>
      <w:pPr>
        <w:tabs>
          <w:tab w:val="num" w:pos="0"/>
        </w:tabs>
        <w:ind w:left="6659" w:hanging="282"/>
      </w:pPr>
      <w:rPr>
        <w:rFonts w:ascii="Symbol" w:hAnsi="Symbol" w:cs="Symbol" w:hint="default"/>
        <w:lang w:val="pl-PL" w:eastAsia="en-US" w:bidi="ar-SA"/>
      </w:rPr>
    </w:lvl>
    <w:lvl w:ilvl="7">
      <w:start w:val="1"/>
      <w:numFmt w:val="bullet"/>
      <w:lvlText w:val=""/>
      <w:lvlJc w:val="left"/>
      <w:pPr>
        <w:tabs>
          <w:tab w:val="num" w:pos="0"/>
        </w:tabs>
        <w:ind w:left="7636" w:hanging="282"/>
      </w:pPr>
      <w:rPr>
        <w:rFonts w:ascii="Symbol" w:hAnsi="Symbol" w:cs="Symbol" w:hint="default"/>
        <w:lang w:val="pl-PL" w:eastAsia="en-US" w:bidi="ar-SA"/>
      </w:rPr>
    </w:lvl>
    <w:lvl w:ilvl="8">
      <w:start w:val="1"/>
      <w:numFmt w:val="bullet"/>
      <w:lvlText w:val=""/>
      <w:lvlJc w:val="left"/>
      <w:pPr>
        <w:tabs>
          <w:tab w:val="num" w:pos="0"/>
        </w:tabs>
        <w:ind w:left="8613" w:hanging="282"/>
      </w:pPr>
      <w:rPr>
        <w:rFonts w:ascii="Symbol" w:hAnsi="Symbol" w:cs="Symbol" w:hint="default"/>
        <w:lang w:val="pl-PL" w:eastAsia="en-US" w:bidi="ar-SA"/>
      </w:rPr>
    </w:lvl>
  </w:abstractNum>
  <w:abstractNum w:abstractNumId="43">
    <w:lvl w:ilvl="0">
      <w:start w:val="1"/>
      <w:numFmt w:val="bullet"/>
      <w:lvlText w:val=""/>
      <w:lvlJc w:val="left"/>
      <w:pPr>
        <w:tabs>
          <w:tab w:val="num" w:pos="900"/>
        </w:tabs>
        <w:ind w:left="900" w:hanging="360"/>
      </w:pPr>
      <w:rPr>
        <w:rFonts w:ascii="Symbol" w:hAnsi="Symbol" w:cs="Symbol" w:hint="default"/>
      </w:rPr>
    </w:lvl>
    <w:lvl w:ilvl="1">
      <w:start w:val="1"/>
      <w:numFmt w:val="bullet"/>
      <w:lvlText w:val="◦"/>
      <w:lvlJc w:val="left"/>
      <w:pPr>
        <w:tabs>
          <w:tab w:val="num" w:pos="1260"/>
        </w:tabs>
        <w:ind w:left="1260" w:hanging="360"/>
      </w:pPr>
      <w:rPr>
        <w:rFonts w:ascii="OpenSymbol" w:hAnsi="OpenSymbol" w:cs="OpenSymbol" w:hint="default"/>
      </w:rPr>
    </w:lvl>
    <w:lvl w:ilvl="2">
      <w:start w:val="1"/>
      <w:numFmt w:val="bullet"/>
      <w:lvlText w:val="▪"/>
      <w:lvlJc w:val="left"/>
      <w:pPr>
        <w:tabs>
          <w:tab w:val="num" w:pos="1620"/>
        </w:tabs>
        <w:ind w:left="1620" w:hanging="360"/>
      </w:pPr>
      <w:rPr>
        <w:rFonts w:ascii="OpenSymbol" w:hAnsi="OpenSymbol" w:cs="OpenSymbol" w:hint="default"/>
      </w:rPr>
    </w:lvl>
    <w:lvl w:ilvl="3">
      <w:start w:val="1"/>
      <w:numFmt w:val="bullet"/>
      <w:lvlText w:val=""/>
      <w:lvlJc w:val="left"/>
      <w:pPr>
        <w:tabs>
          <w:tab w:val="num" w:pos="1980"/>
        </w:tabs>
        <w:ind w:left="1980" w:hanging="360"/>
      </w:pPr>
      <w:rPr>
        <w:rFonts w:ascii="Symbol" w:hAnsi="Symbol" w:cs="Symbol" w:hint="default"/>
      </w:rPr>
    </w:lvl>
    <w:lvl w:ilvl="4">
      <w:start w:val="1"/>
      <w:numFmt w:val="bullet"/>
      <w:lvlText w:val="◦"/>
      <w:lvlJc w:val="left"/>
      <w:pPr>
        <w:tabs>
          <w:tab w:val="num" w:pos="2340"/>
        </w:tabs>
        <w:ind w:left="2340" w:hanging="360"/>
      </w:pPr>
      <w:rPr>
        <w:rFonts w:ascii="OpenSymbol" w:hAnsi="OpenSymbol" w:cs="OpenSymbol" w:hint="default"/>
      </w:rPr>
    </w:lvl>
    <w:lvl w:ilvl="5">
      <w:start w:val="1"/>
      <w:numFmt w:val="bullet"/>
      <w:lvlText w:val="▪"/>
      <w:lvlJc w:val="left"/>
      <w:pPr>
        <w:tabs>
          <w:tab w:val="num" w:pos="2700"/>
        </w:tabs>
        <w:ind w:left="2700" w:hanging="360"/>
      </w:pPr>
      <w:rPr>
        <w:rFonts w:ascii="OpenSymbol" w:hAnsi="OpenSymbol" w:cs="OpenSymbol" w:hint="default"/>
      </w:rPr>
    </w:lvl>
    <w:lvl w:ilvl="6">
      <w:start w:val="1"/>
      <w:numFmt w:val="bullet"/>
      <w:lvlText w:val=""/>
      <w:lvlJc w:val="left"/>
      <w:pPr>
        <w:tabs>
          <w:tab w:val="num" w:pos="3060"/>
        </w:tabs>
        <w:ind w:left="3060" w:hanging="360"/>
      </w:pPr>
      <w:rPr>
        <w:rFonts w:ascii="Symbol" w:hAnsi="Symbol" w:cs="Symbol" w:hint="default"/>
      </w:rPr>
    </w:lvl>
    <w:lvl w:ilvl="7">
      <w:start w:val="1"/>
      <w:numFmt w:val="bullet"/>
      <w:lvlText w:val="◦"/>
      <w:lvlJc w:val="left"/>
      <w:pPr>
        <w:tabs>
          <w:tab w:val="num" w:pos="3420"/>
        </w:tabs>
        <w:ind w:left="3420" w:hanging="360"/>
      </w:pPr>
      <w:rPr>
        <w:rFonts w:ascii="OpenSymbol" w:hAnsi="OpenSymbol" w:cs="OpenSymbol" w:hint="default"/>
      </w:rPr>
    </w:lvl>
    <w:lvl w:ilvl="8">
      <w:start w:val="1"/>
      <w:numFmt w:val="bullet"/>
      <w:lvlText w:val="▪"/>
      <w:lvlJc w:val="left"/>
      <w:pPr>
        <w:tabs>
          <w:tab w:val="num" w:pos="3780"/>
        </w:tabs>
        <w:ind w:left="378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18"/>
    <w:lvlOverride w:ilvl="0">
      <w:startOverride w:val="1"/>
    </w:lvlOverride>
  </w:num>
  <w:num w:numId="45">
    <w:abstractNumId w:val="29"/>
    <w:lvlOverride w:ilvl="0">
      <w:startOverride w:val="1"/>
    </w:lvlOverride>
  </w:num>
  <w:num w:numId="46">
    <w:abstractNumId w:val="39"/>
    <w:lvlOverride w:ilvl="0">
      <w:startOverride w:val="1"/>
    </w:lvlOverride>
  </w:num>
</w:numbering>
</file>

<file path=word/settings.xml><?xml version="1.0" encoding="utf-8"?>
<w:settings xmlns:w="http://schemas.openxmlformats.org/wordprocessingml/2006/main">
  <w:zoom w:percent="90"/>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sz w:val="22"/>
        <w:szCs w:val="22"/>
        <w:lang w:val="pl-PL" w:eastAsia="pl-PL" w:bidi="ar-SA"/>
      </w:rPr>
    </w:rPrDefault>
    <w:pPrDefault>
      <w:pPr>
        <w:suppressAutoHyphens w:val="true"/>
      </w:pPr>
    </w:pPrDefault>
  </w:docDefaults>
  <w:style w:type="paragraph" w:styleId="Normal">
    <w:name w:val="Normal"/>
    <w:qFormat/>
    <w:pPr>
      <w:widowControl w:val="false"/>
      <w:numPr>
        <w:ilvl w:val="0"/>
        <w:numId w:val="0"/>
      </w:numPr>
      <w:suppressAutoHyphens w:val="true"/>
      <w:overflowPunct w:val="false"/>
      <w:bidi w:val="0"/>
      <w:spacing w:lineRule="auto" w:line="276" w:before="0" w:after="200"/>
      <w:jc w:val="left"/>
    </w:pPr>
    <w:rPr>
      <w:rFonts w:ascii="Times New Roman" w:hAnsi="Times New Roman" w:eastAsia="Andale Sans UI" w:cs="Tahoma"/>
      <w:color w:val="auto"/>
      <w:kern w:val="2"/>
      <w:sz w:val="24"/>
      <w:szCs w:val="24"/>
      <w:lang w:val="pl-PL" w:eastAsia="en-US" w:bidi="en-US"/>
    </w:rPr>
  </w:style>
  <w:style w:type="paragraph" w:styleId="Heading1">
    <w:name w:val="heading 1"/>
    <w:basedOn w:val="Normal"/>
    <w:next w:val="BodyText"/>
    <w:qFormat/>
    <w:pPr>
      <w:keepNext w:val="true"/>
      <w:keepLines/>
      <w:numPr>
        <w:ilvl w:val="0"/>
        <w:numId w:val="1"/>
      </w:numPr>
      <w:spacing w:before="480" w:after="0"/>
      <w:outlineLvl w:val="0"/>
    </w:pPr>
    <w:rPr>
      <w:rFonts w:ascii="Times New Roman" w:hAnsi="Times New Roman" w:eastAsia="Times New Roman"/>
      <w:b/>
      <w:bCs/>
      <w:color w:val="000000"/>
      <w:sz w:val="22"/>
      <w:szCs w:val="28"/>
    </w:rPr>
  </w:style>
  <w:style w:type="paragraph" w:styleId="Heading2">
    <w:name w:val="heading 2"/>
    <w:basedOn w:val="Normal"/>
    <w:next w:val="BodyText"/>
    <w:qFormat/>
    <w:pPr>
      <w:keepNext w:val="true"/>
      <w:keepLines/>
      <w:numPr>
        <w:ilvl w:val="1"/>
        <w:numId w:val="1"/>
      </w:numPr>
      <w:spacing w:before="200" w:after="0"/>
      <w:outlineLvl w:val="1"/>
    </w:pPr>
    <w:rPr>
      <w:rFonts w:ascii="Times New Roman" w:hAnsi="Times New Roman" w:eastAsia="Times New Roman"/>
      <w:b/>
      <w:bCs/>
      <w:color w:val="000000"/>
      <w:sz w:val="26"/>
      <w:szCs w:val="26"/>
    </w:rPr>
  </w:style>
  <w:style w:type="paragraph" w:styleId="Heading3">
    <w:name w:val="heading 3"/>
    <w:basedOn w:val="Normal"/>
    <w:next w:val="BodyText"/>
    <w:qFormat/>
    <w:pPr>
      <w:keepNext w:val="true"/>
      <w:keepLines/>
      <w:numPr>
        <w:ilvl w:val="2"/>
        <w:numId w:val="1"/>
      </w:numPr>
      <w:spacing w:before="200" w:after="0"/>
      <w:outlineLvl w:val="2"/>
    </w:pPr>
    <w:rPr>
      <w:rFonts w:ascii="Cambria" w:hAnsi="Cambria" w:eastAsia="Times New Roman"/>
      <w:b/>
      <w:bCs/>
      <w:color w:val="4F81BD"/>
    </w:rPr>
  </w:style>
  <w:style w:type="paragraph" w:styleId="Heading4">
    <w:name w:val="heading 4"/>
    <w:basedOn w:val="Normal"/>
    <w:next w:val="BodyText"/>
    <w:qFormat/>
    <w:pPr>
      <w:keepNext w:val="true"/>
      <w:keepLines/>
      <w:numPr>
        <w:ilvl w:val="3"/>
        <w:numId w:val="1"/>
      </w:numPr>
      <w:spacing w:before="200" w:after="0"/>
      <w:outlineLvl w:val="3"/>
    </w:pPr>
    <w:rPr>
      <w:rFonts w:ascii="Cambria" w:hAnsi="Cambria" w:eastAsia="Times New Roman"/>
      <w:b/>
      <w:bCs/>
      <w:i/>
      <w:iCs/>
      <w:color w:val="4F81BD"/>
    </w:rPr>
  </w:style>
  <w:style w:type="paragraph" w:styleId="Heading5">
    <w:name w:val="heading 5"/>
    <w:basedOn w:val="Normal"/>
    <w:next w:val="BodyText"/>
    <w:qFormat/>
    <w:pPr>
      <w:keepNext w:val="true"/>
      <w:keepLines/>
      <w:numPr>
        <w:ilvl w:val="4"/>
        <w:numId w:val="1"/>
      </w:numPr>
      <w:spacing w:before="200" w:after="0"/>
      <w:outlineLvl w:val="4"/>
    </w:pPr>
    <w:rPr>
      <w:rFonts w:ascii="Cambria" w:hAnsi="Cambria" w:eastAsia="Times New Roman"/>
      <w:color w:val="243F60"/>
    </w:rPr>
  </w:style>
  <w:style w:type="paragraph" w:styleId="Heading6">
    <w:name w:val="heading 6"/>
    <w:basedOn w:val="Normal"/>
    <w:next w:val="BodyText"/>
    <w:qFormat/>
    <w:pPr>
      <w:keepNext w:val="true"/>
      <w:keepLines/>
      <w:numPr>
        <w:ilvl w:val="5"/>
        <w:numId w:val="1"/>
      </w:numPr>
      <w:spacing w:before="200" w:after="0"/>
      <w:outlineLvl w:val="5"/>
    </w:pPr>
    <w:rPr>
      <w:rFonts w:ascii="Cambria" w:hAnsi="Cambria" w:eastAsia="Times New Roman"/>
      <w:i/>
      <w:iCs/>
      <w:color w:val="243F60"/>
    </w:rPr>
  </w:style>
  <w:style w:type="paragraph" w:styleId="Heading7">
    <w:name w:val="heading 7"/>
    <w:basedOn w:val="Normal"/>
    <w:next w:val="BodyText"/>
    <w:qFormat/>
    <w:pPr>
      <w:keepNext w:val="true"/>
      <w:keepLines/>
      <w:numPr>
        <w:ilvl w:val="6"/>
        <w:numId w:val="1"/>
      </w:numPr>
      <w:spacing w:before="200" w:after="0"/>
      <w:outlineLvl w:val="6"/>
    </w:pPr>
    <w:rPr>
      <w:rFonts w:ascii="Cambria" w:hAnsi="Cambria" w:eastAsia="Times New Roman"/>
      <w:i/>
      <w:iCs/>
      <w:color w:val="404040"/>
    </w:rPr>
  </w:style>
  <w:style w:type="paragraph" w:styleId="Heading8">
    <w:name w:val="heading 8"/>
    <w:basedOn w:val="Normal"/>
    <w:next w:val="BodyText"/>
    <w:qFormat/>
    <w:pPr>
      <w:keepNext w:val="true"/>
      <w:keepLines/>
      <w:numPr>
        <w:ilvl w:val="7"/>
        <w:numId w:val="1"/>
      </w:numPr>
      <w:spacing w:before="200" w:after="0"/>
      <w:outlineLvl w:val="7"/>
    </w:pPr>
    <w:rPr>
      <w:rFonts w:ascii="Cambria" w:hAnsi="Cambria" w:eastAsia="Times New Roman"/>
      <w:color w:val="404040"/>
      <w:sz w:val="20"/>
      <w:szCs w:val="20"/>
    </w:rPr>
  </w:style>
  <w:style w:type="paragraph" w:styleId="Heading9">
    <w:name w:val="heading 9"/>
    <w:basedOn w:val="Normal"/>
    <w:next w:val="BodyText"/>
    <w:qFormat/>
    <w:pPr>
      <w:keepNext w:val="true"/>
      <w:keepLines/>
      <w:numPr>
        <w:ilvl w:val="8"/>
        <w:numId w:val="1"/>
      </w:numPr>
      <w:spacing w:before="200" w:after="0"/>
      <w:outlineLvl w:val="8"/>
    </w:pPr>
    <w:rPr>
      <w:rFonts w:ascii="Cambria" w:hAnsi="Cambria" w:eastAsia="Times New Roman"/>
      <w:i/>
      <w:iCs/>
      <w:color w:val="404040"/>
      <w:sz w:val="20"/>
      <w:szCs w:val="20"/>
    </w:rPr>
  </w:style>
  <w:style w:type="character" w:styleId="DefaultParagraphFont">
    <w:name w:val="Default Paragraph Font"/>
    <w:qFormat/>
    <w:rPr/>
  </w:style>
  <w:style w:type="character" w:styleId="Nagwek1Znak">
    <w:name w:val="Nagłówek 1 Znak"/>
    <w:basedOn w:val="DefaultParagraphFont"/>
    <w:qFormat/>
    <w:rPr>
      <w:rFonts w:ascii="Cambria" w:hAnsi="Cambria" w:cs="Times New Roman"/>
      <w:b/>
      <w:bCs/>
      <w:color w:val="365F91"/>
      <w:sz w:val="28"/>
      <w:szCs w:val="28"/>
    </w:rPr>
  </w:style>
  <w:style w:type="character" w:styleId="Nagwek2Znak">
    <w:name w:val="Nagłówek 2 Znak"/>
    <w:basedOn w:val="DefaultParagraphFont"/>
    <w:qFormat/>
    <w:rPr>
      <w:rFonts w:ascii="Cambria" w:hAnsi="Cambria" w:cs="Times New Roman"/>
      <w:b/>
      <w:bCs/>
      <w:color w:val="4F81BD"/>
      <w:sz w:val="26"/>
      <w:szCs w:val="26"/>
    </w:rPr>
  </w:style>
  <w:style w:type="character" w:styleId="Nagwek3Znak">
    <w:name w:val="Nagłówek 3 Znak"/>
    <w:basedOn w:val="DefaultParagraphFont"/>
    <w:qFormat/>
    <w:rPr>
      <w:rFonts w:ascii="Cambria" w:hAnsi="Cambria" w:cs="Times New Roman"/>
      <w:b/>
      <w:bCs/>
      <w:color w:val="4F81BD"/>
    </w:rPr>
  </w:style>
  <w:style w:type="character" w:styleId="Nagwek4Znak">
    <w:name w:val="Nagłówek 4 Znak"/>
    <w:basedOn w:val="DefaultParagraphFont"/>
    <w:qFormat/>
    <w:rPr>
      <w:rFonts w:ascii="Cambria" w:hAnsi="Cambria" w:cs="Times New Roman"/>
      <w:b/>
      <w:bCs/>
      <w:i/>
      <w:iCs/>
      <w:color w:val="4F81BD"/>
    </w:rPr>
  </w:style>
  <w:style w:type="character" w:styleId="Nagwek5Znak">
    <w:name w:val="Nagłówek 5 Znak"/>
    <w:basedOn w:val="DefaultParagraphFont"/>
    <w:qFormat/>
    <w:rPr>
      <w:rFonts w:ascii="Cambria" w:hAnsi="Cambria" w:cs="Times New Roman"/>
      <w:color w:val="243F60"/>
    </w:rPr>
  </w:style>
  <w:style w:type="character" w:styleId="Nagwek6Znak">
    <w:name w:val="Nagłówek 6 Znak"/>
    <w:basedOn w:val="DefaultParagraphFont"/>
    <w:qFormat/>
    <w:rPr>
      <w:rFonts w:ascii="Cambria" w:hAnsi="Cambria" w:cs="Times New Roman"/>
      <w:i/>
      <w:iCs/>
      <w:color w:val="243F60"/>
    </w:rPr>
  </w:style>
  <w:style w:type="character" w:styleId="Nagwek7Znak">
    <w:name w:val="Nagłówek 7 Znak"/>
    <w:basedOn w:val="DefaultParagraphFont"/>
    <w:qFormat/>
    <w:rPr>
      <w:rFonts w:ascii="Cambria" w:hAnsi="Cambria" w:cs="Times New Roman"/>
      <w:i/>
      <w:iCs/>
      <w:color w:val="404040"/>
    </w:rPr>
  </w:style>
  <w:style w:type="character" w:styleId="Nagwek8Znak">
    <w:name w:val="Nagłówek 8 Znak"/>
    <w:basedOn w:val="DefaultParagraphFont"/>
    <w:qFormat/>
    <w:rPr>
      <w:rFonts w:ascii="Cambria" w:hAnsi="Cambria" w:cs="Times New Roman"/>
      <w:color w:val="404040"/>
      <w:sz w:val="20"/>
      <w:szCs w:val="20"/>
    </w:rPr>
  </w:style>
  <w:style w:type="character" w:styleId="Nagwek9Znak">
    <w:name w:val="Nagłówek 9 Znak"/>
    <w:basedOn w:val="DefaultParagraphFont"/>
    <w:qFormat/>
    <w:rPr>
      <w:rFonts w:ascii="Cambria" w:hAnsi="Cambria" w:cs="Times New Roman"/>
      <w:i/>
      <w:iCs/>
      <w:color w:val="404040"/>
      <w:sz w:val="20"/>
      <w:szCs w:val="20"/>
    </w:rPr>
  </w:style>
  <w:style w:type="character" w:styleId="TekstdymkaZnak">
    <w:name w:val="Tekst dymka Znak"/>
    <w:basedOn w:val="DefaultParagraphFont"/>
    <w:qFormat/>
    <w:rPr>
      <w:rFonts w:ascii="Tahoma" w:hAnsi="Tahoma" w:cs="Tahoma"/>
      <w:sz w:val="16"/>
      <w:szCs w:val="16"/>
    </w:rPr>
  </w:style>
  <w:style w:type="character" w:styleId="czeinternetoweuser">
    <w:name w:val="Łącze internetowe (user)"/>
    <w:basedOn w:val="DefaultParagraphFont"/>
    <w:qFormat/>
    <w:rPr>
      <w:rFonts w:cs="Times New Roman"/>
      <w:color w:val="0000FF"/>
      <w:u w:val="single"/>
      <w:lang w:val="zxx" w:eastAsia="zxx" w:bidi="zxx"/>
    </w:rPr>
  </w:style>
  <w:style w:type="character" w:styleId="NagwekZnak">
    <w:name w:val="Nagłówek Znak"/>
    <w:basedOn w:val="DefaultParagraphFont"/>
    <w:qFormat/>
    <w:rPr>
      <w:rFonts w:cs="Times New Roman"/>
    </w:rPr>
  </w:style>
  <w:style w:type="character" w:styleId="StopkaZnak">
    <w:name w:val="Stopka Znak"/>
    <w:basedOn w:val="DefaultParagraphFont"/>
    <w:qFormat/>
    <w:rPr>
      <w:rFonts w:cs="Times New Roman"/>
    </w:rPr>
  </w:style>
  <w:style w:type="character" w:styleId="TytuZnak">
    <w:name w:val="Tytuł Znak"/>
    <w:basedOn w:val="DefaultParagraphFont"/>
    <w:qFormat/>
    <w:rPr>
      <w:rFonts w:ascii="Cambria" w:hAnsi="Cambria" w:cs="Times New Roman"/>
      <w:spacing w:val="-10"/>
      <w:kern w:val="2"/>
      <w:sz w:val="56"/>
      <w:szCs w:val="56"/>
    </w:rPr>
  </w:style>
  <w:style w:type="character" w:styleId="apple-converted-space">
    <w:name w:val="apple-converted-space"/>
    <w:qFormat/>
    <w:rPr/>
  </w:style>
  <w:style w:type="character" w:styleId="Wyrnienieuser">
    <w:name w:val="Wyróżnienie (user)"/>
    <w:qFormat/>
    <w:rPr>
      <w:i/>
      <w:iCs/>
    </w:rPr>
  </w:style>
  <w:style w:type="character" w:styleId="TekstpodstawowyZnak">
    <w:name w:val="Tekst podstawowy Znak"/>
    <w:basedOn w:val="DefaultParagraphFont"/>
    <w:qFormat/>
    <w:rPr>
      <w:rFonts w:ascii="Times New Roman" w:hAnsi="Times New Roman" w:eastAsia="Times New Roman"/>
      <w:sz w:val="20"/>
      <w:szCs w:val="20"/>
      <w:lang w:val="en-US"/>
    </w:rPr>
  </w:style>
  <w:style w:type="character" w:styleId="Znakinumeracjiuser">
    <w:name w:val="Znaki numeracji (user)"/>
    <w:qFormat/>
    <w:rPr/>
  </w:style>
  <w:style w:type="character" w:styleId="Znakiwypunktowaniauser">
    <w:name w:val="Znaki wypunktowania (user)"/>
    <w:qFormat/>
    <w:rPr>
      <w:rFonts w:ascii="OpenSymbol" w:hAnsi="OpenSymbol" w:eastAsia="OpenSymbol" w:cs="OpenSymbol"/>
    </w:rPr>
  </w:style>
  <w:style w:type="character" w:styleId="WWCharLFO8LVL1">
    <w:name w:val="WW_CharLFO8LVL1"/>
    <w:qFormat/>
    <w:rPr>
      <w:rFonts w:ascii="Symbol" w:hAnsi="Symbol"/>
    </w:rPr>
  </w:style>
  <w:style w:type="character" w:styleId="WWCharLFO8LVL2">
    <w:name w:val="WW_CharLFO8LVL2"/>
    <w:qFormat/>
    <w:rPr>
      <w:rFonts w:ascii="Courier New" w:hAnsi="Courier New" w:cs="Courier New"/>
    </w:rPr>
  </w:style>
  <w:style w:type="character" w:styleId="WWCharLFO8LVL3">
    <w:name w:val="WW_CharLFO8LVL3"/>
    <w:qFormat/>
    <w:rPr>
      <w:rFonts w:ascii="Wingdings" w:hAnsi="Wingdings"/>
    </w:rPr>
  </w:style>
  <w:style w:type="character" w:styleId="WWCharLFO8LVL4">
    <w:name w:val="WW_CharLFO8LVL4"/>
    <w:qFormat/>
    <w:rPr>
      <w:rFonts w:ascii="Symbol" w:hAnsi="Symbol"/>
    </w:rPr>
  </w:style>
  <w:style w:type="character" w:styleId="WWCharLFO8LVL5">
    <w:name w:val="WW_CharLFO8LVL5"/>
    <w:qFormat/>
    <w:rPr>
      <w:rFonts w:ascii="Courier New" w:hAnsi="Courier New" w:cs="Courier New"/>
    </w:rPr>
  </w:style>
  <w:style w:type="character" w:styleId="WWCharLFO8LVL6">
    <w:name w:val="WW_CharLFO8LVL6"/>
    <w:qFormat/>
    <w:rPr>
      <w:rFonts w:ascii="Wingdings" w:hAnsi="Wingdings"/>
    </w:rPr>
  </w:style>
  <w:style w:type="character" w:styleId="WWCharLFO8LVL7">
    <w:name w:val="WW_CharLFO8LVL7"/>
    <w:qFormat/>
    <w:rPr>
      <w:rFonts w:ascii="Symbol" w:hAnsi="Symbol"/>
    </w:rPr>
  </w:style>
  <w:style w:type="character" w:styleId="WWCharLFO8LVL8">
    <w:name w:val="WW_CharLFO8LVL8"/>
    <w:qFormat/>
    <w:rPr>
      <w:rFonts w:ascii="Courier New" w:hAnsi="Courier New" w:cs="Courier New"/>
    </w:rPr>
  </w:style>
  <w:style w:type="character" w:styleId="WWCharLFO8LVL9">
    <w:name w:val="WW_CharLFO8LVL9"/>
    <w:qFormat/>
    <w:rPr>
      <w:rFonts w:ascii="Wingdings" w:hAnsi="Wingdings"/>
    </w:rPr>
  </w:style>
  <w:style w:type="character" w:styleId="Domylnaczcionkaakapitu">
    <w:name w:val="Domyślna czcionka akapitu"/>
    <w:qFormat/>
    <w:rPr/>
  </w:style>
  <w:style w:type="character" w:styleId="WWCharLFO3LVL1">
    <w:name w:val="WW_CharLFO3LVL1"/>
    <w:qFormat/>
    <w:rPr>
      <w:rFonts w:ascii="Times New Roman" w:hAnsi="Times New Roman" w:eastAsia="Arial" w:cs="Arial"/>
      <w:b w:val="false"/>
      <w:bCs w:val="false"/>
      <w:i w:val="false"/>
      <w:iCs w:val="false"/>
      <w:color w:val="010101"/>
      <w:spacing w:val="-1"/>
      <w:w w:val="103"/>
      <w:sz w:val="22"/>
      <w:szCs w:val="22"/>
      <w:lang w:val="pl-PL" w:eastAsia="en-US" w:bidi="ar-SA"/>
    </w:rPr>
  </w:style>
  <w:style w:type="character" w:styleId="WWCharLFO3LVL2">
    <w:name w:val="WW_CharLFO3LVL2"/>
    <w:qFormat/>
    <w:rPr>
      <w:rFonts w:ascii="Arial" w:hAnsi="Arial" w:eastAsia="Arial" w:cs="Arial"/>
      <w:b w:val="false"/>
      <w:bCs w:val="false"/>
      <w:i w:val="false"/>
      <w:iCs w:val="false"/>
      <w:color w:val="010101"/>
      <w:spacing w:val="0"/>
      <w:w w:val="102"/>
      <w:sz w:val="23"/>
      <w:szCs w:val="23"/>
      <w:lang w:val="pl-PL" w:eastAsia="en-US" w:bidi="ar-SA"/>
    </w:rPr>
  </w:style>
  <w:style w:type="character" w:styleId="WWCharLFO3LVL3">
    <w:name w:val="WW_CharLFO3LVL3"/>
    <w:qFormat/>
    <w:rPr>
      <w:lang w:val="pl-PL" w:eastAsia="en-US" w:bidi="ar-SA"/>
    </w:rPr>
  </w:style>
  <w:style w:type="character" w:styleId="WWCharLFO3LVL4">
    <w:name w:val="WW_CharLFO3LVL4"/>
    <w:qFormat/>
    <w:rPr>
      <w:lang w:val="pl-PL" w:eastAsia="en-US" w:bidi="ar-SA"/>
    </w:rPr>
  </w:style>
  <w:style w:type="character" w:styleId="WWCharLFO3LVL5">
    <w:name w:val="WW_CharLFO3LVL5"/>
    <w:qFormat/>
    <w:rPr>
      <w:lang w:val="pl-PL" w:eastAsia="en-US" w:bidi="ar-SA"/>
    </w:rPr>
  </w:style>
  <w:style w:type="character" w:styleId="WWCharLFO3LVL6">
    <w:name w:val="WW_CharLFO3LVL6"/>
    <w:qFormat/>
    <w:rPr>
      <w:lang w:val="pl-PL" w:eastAsia="en-US" w:bidi="ar-SA"/>
    </w:rPr>
  </w:style>
  <w:style w:type="character" w:styleId="WWCharLFO3LVL7">
    <w:name w:val="WW_CharLFO3LVL7"/>
    <w:qFormat/>
    <w:rPr>
      <w:lang w:val="pl-PL" w:eastAsia="en-US" w:bidi="ar-SA"/>
    </w:rPr>
  </w:style>
  <w:style w:type="character" w:styleId="WWCharLFO3LVL8">
    <w:name w:val="WW_CharLFO3LVL8"/>
    <w:qFormat/>
    <w:rPr>
      <w:lang w:val="pl-PL" w:eastAsia="en-US" w:bidi="ar-SA"/>
    </w:rPr>
  </w:style>
  <w:style w:type="character" w:styleId="WWCharLFO3LVL9">
    <w:name w:val="WW_CharLFO3LVL9"/>
    <w:qFormat/>
    <w:rPr>
      <w:lang w:val="pl-PL" w:eastAsia="en-US" w:bidi="ar-SA"/>
    </w:rPr>
  </w:style>
  <w:style w:type="character" w:styleId="WWCharLFO1LVL1">
    <w:name w:val="WW_CharLFO1LVL1"/>
    <w:qFormat/>
    <w:rPr>
      <w:rFonts w:ascii="Arial" w:hAnsi="Arial" w:eastAsia="Arial" w:cs="Arial"/>
      <w:b w:val="false"/>
      <w:bCs w:val="false"/>
      <w:i w:val="false"/>
      <w:iCs w:val="false"/>
      <w:color w:val="010101"/>
      <w:spacing w:val="-1"/>
      <w:w w:val="103"/>
      <w:sz w:val="23"/>
      <w:szCs w:val="23"/>
      <w:lang w:val="pl-PL" w:eastAsia="en-US" w:bidi="ar-SA"/>
    </w:rPr>
  </w:style>
  <w:style w:type="character" w:styleId="WWCharLFO1LVL2">
    <w:name w:val="WW_CharLFO1LVL2"/>
    <w:qFormat/>
    <w:rPr>
      <w:rFonts w:ascii="Arial" w:hAnsi="Arial" w:eastAsia="Arial" w:cs="Arial"/>
      <w:spacing w:val="0"/>
      <w:w w:val="107"/>
      <w:lang w:val="pl-PL" w:eastAsia="en-US" w:bidi="ar-SA"/>
    </w:rPr>
  </w:style>
  <w:style w:type="character" w:styleId="WWCharLFO1LVL3">
    <w:name w:val="WW_CharLFO1LVL3"/>
    <w:qFormat/>
    <w:rPr>
      <w:lang w:val="pl-PL" w:eastAsia="en-US" w:bidi="ar-SA"/>
    </w:rPr>
  </w:style>
  <w:style w:type="character" w:styleId="WWCharLFO1LVL4">
    <w:name w:val="WW_CharLFO1LVL4"/>
    <w:qFormat/>
    <w:rPr>
      <w:lang w:val="pl-PL" w:eastAsia="en-US" w:bidi="ar-SA"/>
    </w:rPr>
  </w:style>
  <w:style w:type="character" w:styleId="WWCharLFO1LVL5">
    <w:name w:val="WW_CharLFO1LVL5"/>
    <w:qFormat/>
    <w:rPr>
      <w:lang w:val="pl-PL" w:eastAsia="en-US" w:bidi="ar-SA"/>
    </w:rPr>
  </w:style>
  <w:style w:type="character" w:styleId="WWCharLFO1LVL6">
    <w:name w:val="WW_CharLFO1LVL6"/>
    <w:qFormat/>
    <w:rPr>
      <w:lang w:val="pl-PL" w:eastAsia="en-US" w:bidi="ar-SA"/>
    </w:rPr>
  </w:style>
  <w:style w:type="character" w:styleId="WWCharLFO1LVL7">
    <w:name w:val="WW_CharLFO1LVL7"/>
    <w:qFormat/>
    <w:rPr>
      <w:lang w:val="pl-PL" w:eastAsia="en-US" w:bidi="ar-SA"/>
    </w:rPr>
  </w:style>
  <w:style w:type="character" w:styleId="WWCharLFO1LVL8">
    <w:name w:val="WW_CharLFO1LVL8"/>
    <w:qFormat/>
    <w:rPr>
      <w:lang w:val="pl-PL" w:eastAsia="en-US" w:bidi="ar-SA"/>
    </w:rPr>
  </w:style>
  <w:style w:type="character" w:styleId="WWCharLFO1LVL9">
    <w:name w:val="WW_CharLFO1LVL9"/>
    <w:qFormat/>
    <w:rPr>
      <w:lang w:val="pl-PL" w:eastAsia="en-US" w:bidi="ar-SA"/>
    </w:rPr>
  </w:style>
  <w:style w:type="character" w:styleId="WWCharLFO2LVL1">
    <w:name w:val="WW_CharLFO2LVL1"/>
    <w:qFormat/>
    <w:rPr>
      <w:rFonts w:ascii="Times New Roman" w:hAnsi="Times New Roman"/>
      <w:spacing w:val="-1"/>
      <w:w w:val="98"/>
      <w:lang w:val="pl-PL" w:eastAsia="en-US" w:bidi="ar-SA"/>
    </w:rPr>
  </w:style>
  <w:style w:type="character" w:styleId="WWCharLFO2LVL2">
    <w:name w:val="WW_CharLFO2LVL2"/>
    <w:qFormat/>
    <w:rPr>
      <w:rFonts w:ascii="Arial" w:hAnsi="Arial" w:eastAsia="Arial" w:cs="Arial"/>
      <w:spacing w:val="0"/>
      <w:w w:val="99"/>
      <w:lang w:val="pl-PL" w:eastAsia="en-US" w:bidi="ar-SA"/>
    </w:rPr>
  </w:style>
  <w:style w:type="character" w:styleId="WWCharLFO2LVL3">
    <w:name w:val="WW_CharLFO2LVL3"/>
    <w:qFormat/>
    <w:rPr>
      <w:lang w:val="pl-PL" w:eastAsia="en-US" w:bidi="ar-SA"/>
    </w:rPr>
  </w:style>
  <w:style w:type="character" w:styleId="WWCharLFO2LVL4">
    <w:name w:val="WW_CharLFO2LVL4"/>
    <w:qFormat/>
    <w:rPr>
      <w:lang w:val="pl-PL" w:eastAsia="en-US" w:bidi="ar-SA"/>
    </w:rPr>
  </w:style>
  <w:style w:type="character" w:styleId="WWCharLFO2LVL5">
    <w:name w:val="WW_CharLFO2LVL5"/>
    <w:qFormat/>
    <w:rPr>
      <w:lang w:val="pl-PL" w:eastAsia="en-US" w:bidi="ar-SA"/>
    </w:rPr>
  </w:style>
  <w:style w:type="character" w:styleId="WWCharLFO2LVL6">
    <w:name w:val="WW_CharLFO2LVL6"/>
    <w:qFormat/>
    <w:rPr>
      <w:lang w:val="pl-PL" w:eastAsia="en-US" w:bidi="ar-SA"/>
    </w:rPr>
  </w:style>
  <w:style w:type="character" w:styleId="WWCharLFO2LVL7">
    <w:name w:val="WW_CharLFO2LVL7"/>
    <w:qFormat/>
    <w:rPr>
      <w:lang w:val="pl-PL" w:eastAsia="en-US" w:bidi="ar-SA"/>
    </w:rPr>
  </w:style>
  <w:style w:type="character" w:styleId="WWCharLFO2LVL8">
    <w:name w:val="WW_CharLFO2LVL8"/>
    <w:qFormat/>
    <w:rPr>
      <w:lang w:val="pl-PL" w:eastAsia="en-US" w:bidi="ar-SA"/>
    </w:rPr>
  </w:style>
  <w:style w:type="character" w:styleId="WWCharLFO2LVL9">
    <w:name w:val="WW_CharLFO2LVL9"/>
    <w:qFormat/>
    <w:rPr>
      <w:lang w:val="pl-PL" w:eastAsia="en-US" w:bidi="ar-SA"/>
    </w:rPr>
  </w:style>
  <w:style w:type="character" w:styleId="WWCharLFO4LVL1">
    <w:name w:val="WW_CharLFO4LVL1"/>
    <w:qFormat/>
    <w:rPr>
      <w:rFonts w:ascii="Times New Roman" w:hAnsi="Times New Roman" w:eastAsia="Arial" w:cs="Arial"/>
      <w:b w:val="false"/>
      <w:bCs w:val="false"/>
      <w:i w:val="false"/>
      <w:iCs w:val="false"/>
      <w:color w:val="010101"/>
      <w:spacing w:val="-1"/>
      <w:w w:val="103"/>
      <w:sz w:val="23"/>
      <w:szCs w:val="23"/>
      <w:lang w:val="pl-PL" w:eastAsia="en-US" w:bidi="ar-SA"/>
    </w:rPr>
  </w:style>
  <w:style w:type="character" w:styleId="WWCharLFO4LVL2">
    <w:name w:val="WW_CharLFO4LVL2"/>
    <w:qFormat/>
    <w:rPr>
      <w:lang w:val="pl-PL" w:eastAsia="en-US" w:bidi="ar-SA"/>
    </w:rPr>
  </w:style>
  <w:style w:type="character" w:styleId="WWCharLFO4LVL3">
    <w:name w:val="WW_CharLFO4LVL3"/>
    <w:qFormat/>
    <w:rPr>
      <w:lang w:val="pl-PL" w:eastAsia="en-US" w:bidi="ar-SA"/>
    </w:rPr>
  </w:style>
  <w:style w:type="character" w:styleId="WWCharLFO4LVL4">
    <w:name w:val="WW_CharLFO4LVL4"/>
    <w:qFormat/>
    <w:rPr>
      <w:lang w:val="pl-PL" w:eastAsia="en-US" w:bidi="ar-SA"/>
    </w:rPr>
  </w:style>
  <w:style w:type="character" w:styleId="WWCharLFO4LVL5">
    <w:name w:val="WW_CharLFO4LVL5"/>
    <w:qFormat/>
    <w:rPr>
      <w:lang w:val="pl-PL" w:eastAsia="en-US" w:bidi="ar-SA"/>
    </w:rPr>
  </w:style>
  <w:style w:type="character" w:styleId="WWCharLFO4LVL6">
    <w:name w:val="WW_CharLFO4LVL6"/>
    <w:qFormat/>
    <w:rPr>
      <w:lang w:val="pl-PL" w:eastAsia="en-US" w:bidi="ar-SA"/>
    </w:rPr>
  </w:style>
  <w:style w:type="character" w:styleId="WWCharLFO4LVL7">
    <w:name w:val="WW_CharLFO4LVL7"/>
    <w:qFormat/>
    <w:rPr>
      <w:lang w:val="pl-PL" w:eastAsia="en-US" w:bidi="ar-SA"/>
    </w:rPr>
  </w:style>
  <w:style w:type="character" w:styleId="WWCharLFO4LVL8">
    <w:name w:val="WW_CharLFO4LVL8"/>
    <w:qFormat/>
    <w:rPr>
      <w:lang w:val="pl-PL" w:eastAsia="en-US" w:bidi="ar-SA"/>
    </w:rPr>
  </w:style>
  <w:style w:type="character" w:styleId="WWCharLFO4LVL9">
    <w:name w:val="WW_CharLFO4LVL9"/>
    <w:qFormat/>
    <w:rPr>
      <w:lang w:val="pl-PL" w:eastAsia="en-US" w:bidi="ar-SA"/>
    </w:rPr>
  </w:style>
  <w:style w:type="character" w:styleId="WW8Num19z0">
    <w:name w:val="WW8Num19z0"/>
    <w:qFormat/>
    <w:rPr/>
  </w:style>
  <w:style w:type="character" w:styleId="WW8Num26z0">
    <w:name w:val="WW8Num26z0"/>
    <w:qFormat/>
    <w:rPr>
      <w:rFonts w:ascii="Symbol" w:hAnsi="Symbol" w:cs="Symbol"/>
    </w:rPr>
  </w:style>
  <w:style w:type="character" w:styleId="WW8Num26z1">
    <w:name w:val="WW8Num26z1"/>
    <w:qFormat/>
    <w:rPr>
      <w:rFonts w:ascii="Courier New" w:hAnsi="Courier New" w:cs="Courier New"/>
    </w:rPr>
  </w:style>
  <w:style w:type="character" w:styleId="WW8Num26z2">
    <w:name w:val="WW8Num26z2"/>
    <w:qFormat/>
    <w:rPr>
      <w:rFonts w:ascii="Wingdings" w:hAnsi="Wingdings" w:cs="Wingdings"/>
    </w:rPr>
  </w:style>
  <w:style w:type="character" w:styleId="WW8Num43z0">
    <w:name w:val="WW8Num43z0"/>
    <w:qFormat/>
    <w:rPr/>
  </w:style>
  <w:style w:type="character" w:styleId="WW8Num20z0">
    <w:name w:val="WW8Num20z0"/>
    <w:qFormat/>
    <w:rPr>
      <w:rFonts w:ascii="Times New Roman" w:hAnsi="Times New Roman" w:eastAsia="Times New Roman" w:cs="Times New Roman"/>
    </w:rPr>
  </w:style>
  <w:style w:type="character" w:styleId="WW8Num20z1">
    <w:name w:val="WW8Num20z1"/>
    <w:qFormat/>
    <w:rPr>
      <w:rFonts w:ascii="Courier New" w:hAnsi="Courier New" w:cs="Courier New"/>
    </w:rPr>
  </w:style>
  <w:style w:type="character" w:styleId="WW8Num20z2">
    <w:name w:val="WW8Num20z2"/>
    <w:qFormat/>
    <w:rPr>
      <w:rFonts w:ascii="Wingdings" w:hAnsi="Wingdings" w:cs="Wingdings"/>
    </w:rPr>
  </w:style>
  <w:style w:type="character" w:styleId="WW8Num20z3">
    <w:name w:val="WW8Num20z3"/>
    <w:qFormat/>
    <w:rPr>
      <w:rFonts w:ascii="Symbol" w:hAnsi="Symbol" w:cs="Symbol"/>
    </w:rPr>
  </w:style>
  <w:style w:type="character" w:styleId="WW8Num4z0">
    <w:name w:val="WW8Num4z0"/>
    <w:qFormat/>
    <w:rPr>
      <w:rFonts w:ascii="Symbol" w:hAnsi="Symbol" w:cs="Symbol"/>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34z0">
    <w:name w:val="WW8Num34z0"/>
    <w:qFormat/>
    <w:rPr/>
  </w:style>
  <w:style w:type="character" w:styleId="czeindeksuuser">
    <w:name w:val="Łącze indeksu (user)"/>
    <w:qFormat/>
    <w:rPr/>
  </w:style>
  <w:style w:type="character" w:styleId="Hyperlink">
    <w:name w:val="Hyperlink"/>
    <w:rPr>
      <w:color w:val="000080"/>
      <w:u w:val="single"/>
    </w:rPr>
  </w:style>
  <w:style w:type="character" w:styleId="czeindeksu">
    <w:name w:val="Łącze indeksu"/>
    <w:qFormat/>
    <w:rPr/>
  </w:style>
  <w:style w:type="character" w:styleId="Znakinumeracji">
    <w:name w:val="Znaki numeracji"/>
    <w:qFormat/>
    <w:rPr/>
  </w:style>
  <w:style w:type="character" w:styleId="Znakiwypunktowania">
    <w:name w:val="Znaki wypunktowania"/>
    <w:qFormat/>
    <w:rPr>
      <w:rFonts w:ascii="OpenSymbol" w:hAnsi="OpenSymbol" w:eastAsia="OpenSymbol" w:cs="OpenSymbol"/>
    </w:rPr>
  </w:style>
  <w:style w:type="paragraph" w:styleId="Nagwek">
    <w:name w:val="Nagłówek"/>
    <w:basedOn w:val="Normal"/>
    <w:next w:val="BodyText"/>
    <w:qFormat/>
    <w:pPr>
      <w:keepNext w:val="true"/>
      <w:spacing w:before="240" w:after="120"/>
    </w:pPr>
    <w:rPr>
      <w:rFonts w:ascii="Liberation Sans" w:hAnsi="Liberation Sans" w:eastAsia="Microsoft YaHei" w:cs="Arial Unicode MS"/>
      <w:sz w:val="28"/>
      <w:szCs w:val="28"/>
    </w:rPr>
  </w:style>
  <w:style w:type="paragraph" w:styleId="BodyText">
    <w:name w:val="Body Text"/>
    <w:basedOn w:val="Normal"/>
    <w:pPr>
      <w:numPr>
        <w:ilvl w:val="0"/>
        <w:numId w:val="0"/>
      </w:numPr>
      <w:spacing w:lineRule="auto" w:line="240" w:before="0" w:after="120"/>
    </w:pPr>
    <w:rPr>
      <w:rFonts w:ascii="Times New Roman" w:hAnsi="Times New Roman" w:eastAsia="Times New Roman"/>
      <w:sz w:val="20"/>
      <w:szCs w:val="20"/>
      <w:lang w:val="en-US" w:eastAsia="pl-PL"/>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ks">
    <w:name w:val="Indeks"/>
    <w:basedOn w:val="Normal"/>
    <w:qFormat/>
    <w:pPr>
      <w:suppressLineNumbers/>
    </w:pPr>
    <w:rPr>
      <w:rFonts w:cs="Arial Unicode MS"/>
    </w:rPr>
  </w:style>
  <w:style w:type="paragraph" w:styleId="Nagwekuser">
    <w:name w:val="Nagłówek (user)"/>
    <w:basedOn w:val="Normal"/>
    <w:next w:val="BodyText"/>
    <w:qFormat/>
    <w:pPr>
      <w:keepNext w:val="true"/>
      <w:spacing w:before="240" w:after="120"/>
    </w:pPr>
    <w:rPr>
      <w:rFonts w:ascii="Liberation Sans" w:hAnsi="Liberation Sans" w:eastAsia="Microsoft YaHei" w:cs="Arial Unicode MS"/>
      <w:sz w:val="28"/>
      <w:szCs w:val="28"/>
    </w:rPr>
  </w:style>
  <w:style w:type="paragraph" w:styleId="Indeksuser">
    <w:name w:val="Indeks (user)"/>
    <w:basedOn w:val="Normal"/>
    <w:qFormat/>
    <w:pPr>
      <w:suppressLineNumbers/>
    </w:pPr>
    <w:rPr>
      <w:rFonts w:cs="Arial Unicode MS"/>
    </w:rPr>
  </w:style>
  <w:style w:type="paragraph" w:styleId="BalloonText">
    <w:name w:val="Balloon Text"/>
    <w:basedOn w:val="Normal"/>
    <w:qFormat/>
    <w:pPr>
      <w:numPr>
        <w:ilvl w:val="0"/>
        <w:numId w:val="0"/>
      </w:numPr>
      <w:spacing w:lineRule="auto" w:line="240" w:before="0" w:after="0"/>
    </w:pPr>
    <w:rPr>
      <w:rFonts w:ascii="Tahoma" w:hAnsi="Tahoma" w:cs="Tahoma"/>
      <w:sz w:val="16"/>
      <w:szCs w:val="16"/>
    </w:rPr>
  </w:style>
  <w:style w:type="paragraph" w:styleId="Zawartotabeliuser">
    <w:name w:val="Zawartość tabeli (user)"/>
    <w:basedOn w:val="Normal"/>
    <w:qFormat/>
    <w:pPr>
      <w:widowControl w:val="false"/>
      <w:numPr>
        <w:ilvl w:val="0"/>
        <w:numId w:val="0"/>
      </w:numPr>
      <w:suppressLineNumbers/>
      <w:suppressAutoHyphens w:val="true"/>
      <w:spacing w:lineRule="auto" w:line="240" w:before="0" w:after="0"/>
    </w:pPr>
    <w:rPr>
      <w:rFonts w:ascii="Times New Roman" w:hAnsi="Times New Roman" w:eastAsia="SimSun" w:cs="Mangal"/>
      <w:kern w:val="2"/>
      <w:sz w:val="24"/>
      <w:szCs w:val="24"/>
      <w:lang w:eastAsia="zh-CN" w:bidi="hi-IN"/>
    </w:rPr>
  </w:style>
  <w:style w:type="paragraph" w:styleId="IndexHeading">
    <w:name w:val="index heading"/>
    <w:basedOn w:val="Nagwekuser"/>
    <w:qFormat/>
    <w:pPr/>
    <w:rPr/>
  </w:style>
  <w:style w:type="paragraph" w:styleId="TOCHeading">
    <w:name w:val="TOC Heading"/>
    <w:basedOn w:val="Heading1"/>
    <w:qFormat/>
    <w:pPr>
      <w:numPr>
        <w:ilvl w:val="0"/>
        <w:numId w:val="0"/>
      </w:numPr>
      <w:suppressLineNumbers/>
      <w:outlineLvl w:val="9"/>
    </w:pPr>
    <w:rPr>
      <w:b/>
      <w:bCs/>
      <w:sz w:val="32"/>
      <w:szCs w:val="32"/>
      <w:lang w:eastAsia="pl-PL"/>
    </w:rPr>
  </w:style>
  <w:style w:type="paragraph" w:styleId="TOC1">
    <w:name w:val="toc 1"/>
    <w:basedOn w:val="Normal"/>
    <w:pPr>
      <w:numPr>
        <w:ilvl w:val="0"/>
        <w:numId w:val="0"/>
      </w:numPr>
      <w:tabs>
        <w:tab w:val="clear" w:pos="708"/>
        <w:tab w:val="right" w:pos="9638" w:leader="dot"/>
      </w:tabs>
      <w:spacing w:before="0" w:after="100"/>
      <w:ind w:hanging="0" w:left="0" w:right="0"/>
    </w:pPr>
    <w:rPr/>
  </w:style>
  <w:style w:type="paragraph" w:styleId="ListParagraph">
    <w:name w:val="List Paragraph"/>
    <w:basedOn w:val="Normal"/>
    <w:qFormat/>
    <w:pPr>
      <w:numPr>
        <w:ilvl w:val="0"/>
        <w:numId w:val="0"/>
      </w:numPr>
      <w:ind w:hanging="0" w:left="720" w:right="0"/>
    </w:pPr>
    <w:rPr/>
  </w:style>
  <w:style w:type="paragraph" w:styleId="Gwkaistopkauser">
    <w:name w:val="Główka i stopka (user)"/>
    <w:basedOn w:val="Normal"/>
    <w:qFormat/>
    <w:pPr/>
    <w:rPr/>
  </w:style>
  <w:style w:type="paragraph" w:styleId="Gwkaistopka">
    <w:name w:val="Główka i stopka"/>
    <w:basedOn w:val="Normal"/>
    <w:qFormat/>
    <w:pPr/>
    <w:rPr/>
  </w:style>
  <w:style w:type="paragraph" w:styleId="Header">
    <w:name w:val="header"/>
    <w:basedOn w:val="Normal"/>
    <w:pPr>
      <w:numPr>
        <w:ilvl w:val="0"/>
        <w:numId w:val="0"/>
      </w:numPr>
      <w:suppressLineNumbers/>
      <w:tabs>
        <w:tab w:val="clear" w:pos="708"/>
        <w:tab w:val="center" w:pos="4536" w:leader="none"/>
        <w:tab w:val="right" w:pos="9072" w:leader="none"/>
      </w:tabs>
      <w:spacing w:lineRule="auto" w:line="240" w:before="0" w:after="0"/>
    </w:pPr>
    <w:rPr/>
  </w:style>
  <w:style w:type="paragraph" w:styleId="Footer">
    <w:name w:val="footer"/>
    <w:basedOn w:val="Normal"/>
    <w:pPr>
      <w:numPr>
        <w:ilvl w:val="0"/>
        <w:numId w:val="0"/>
      </w:numPr>
      <w:suppressLineNumbers/>
      <w:tabs>
        <w:tab w:val="clear" w:pos="708"/>
        <w:tab w:val="center" w:pos="4536" w:leader="none"/>
        <w:tab w:val="right" w:pos="9072" w:leader="none"/>
      </w:tabs>
      <w:spacing w:lineRule="auto" w:line="240" w:before="0" w:after="0"/>
    </w:pPr>
    <w:rPr/>
  </w:style>
  <w:style w:type="paragraph" w:styleId="Title">
    <w:name w:val="Title"/>
    <w:basedOn w:val="Normal"/>
    <w:next w:val="Subtitle"/>
    <w:qFormat/>
    <w:pPr>
      <w:numPr>
        <w:ilvl w:val="0"/>
        <w:numId w:val="0"/>
      </w:numPr>
      <w:spacing w:lineRule="auto" w:line="240" w:before="0" w:after="0"/>
      <w:jc w:val="left"/>
    </w:pPr>
    <w:rPr>
      <w:rFonts w:ascii="Cambria" w:hAnsi="Cambria" w:eastAsia="Times New Roman"/>
      <w:b/>
      <w:bCs/>
      <w:spacing w:val="-10"/>
      <w:kern w:val="2"/>
      <w:sz w:val="56"/>
      <w:szCs w:val="56"/>
    </w:rPr>
  </w:style>
  <w:style w:type="paragraph" w:styleId="Subtitle">
    <w:name w:val="Subtitle"/>
    <w:basedOn w:val="Nagwekuser"/>
    <w:next w:val="BodyText"/>
    <w:qFormat/>
    <w:pPr>
      <w:jc w:val="center"/>
    </w:pPr>
    <w:rPr>
      <w:i/>
      <w:iCs/>
      <w:sz w:val="28"/>
      <w:szCs w:val="28"/>
    </w:rPr>
  </w:style>
  <w:style w:type="paragraph" w:styleId="TOC2">
    <w:name w:val="toc 2"/>
    <w:basedOn w:val="Normal"/>
    <w:pPr>
      <w:numPr>
        <w:ilvl w:val="0"/>
        <w:numId w:val="0"/>
      </w:numPr>
      <w:tabs>
        <w:tab w:val="clear" w:pos="708"/>
        <w:tab w:val="right" w:pos="9355" w:leader="dot"/>
      </w:tabs>
      <w:ind w:hanging="0" w:left="220" w:right="0"/>
    </w:pPr>
    <w:rPr/>
  </w:style>
  <w:style w:type="paragraph" w:styleId="TOC3">
    <w:name w:val="toc 3"/>
    <w:basedOn w:val="Normal"/>
    <w:pPr>
      <w:numPr>
        <w:ilvl w:val="0"/>
        <w:numId w:val="0"/>
      </w:numPr>
      <w:tabs>
        <w:tab w:val="clear" w:pos="708"/>
        <w:tab w:val="right" w:pos="9072" w:leader="dot"/>
      </w:tabs>
      <w:ind w:hanging="0" w:left="440" w:right="0"/>
    </w:pPr>
    <w:rPr/>
  </w:style>
  <w:style w:type="paragraph" w:styleId="NoSpacing">
    <w:name w:val="No Spacing"/>
    <w:qFormat/>
    <w:pPr>
      <w:widowControl/>
      <w:numPr>
        <w:ilvl w:val="0"/>
        <w:numId w:val="0"/>
      </w:numPr>
      <w:suppressAutoHyphens w:val="true"/>
      <w:overflowPunct w:val="false"/>
      <w:bidi w:val="0"/>
      <w:spacing w:before="0" w:after="0"/>
      <w:jc w:val="left"/>
    </w:pPr>
    <w:rPr>
      <w:rFonts w:ascii="Calibri" w:hAnsi="Calibri" w:eastAsia="Calibri" w:cs="Times New Roman"/>
      <w:color w:val="auto"/>
      <w:kern w:val="0"/>
      <w:sz w:val="22"/>
      <w:szCs w:val="22"/>
      <w:lang w:val="pl-PL" w:eastAsia="en-US" w:bidi="ar-SA"/>
    </w:rPr>
  </w:style>
  <w:style w:type="paragraph" w:styleId="NormalWeb">
    <w:name w:val="Normal (Web)"/>
    <w:basedOn w:val="Normal"/>
    <w:qFormat/>
    <w:pPr>
      <w:numPr>
        <w:ilvl w:val="0"/>
        <w:numId w:val="0"/>
      </w:numPr>
      <w:spacing w:lineRule="auto" w:line="240" w:before="100" w:after="119"/>
    </w:pPr>
    <w:rPr>
      <w:rFonts w:ascii="Times New Roman" w:hAnsi="Times New Roman" w:eastAsia="Times New Roman"/>
      <w:sz w:val="24"/>
      <w:szCs w:val="24"/>
      <w:lang w:eastAsia="pl-PL"/>
    </w:rPr>
  </w:style>
  <w:style w:type="paragraph" w:styleId="Akapitzlist1">
    <w:name w:val="Akapit z listą1"/>
    <w:basedOn w:val="Normal"/>
    <w:qFormat/>
    <w:pPr>
      <w:numPr>
        <w:ilvl w:val="0"/>
        <w:numId w:val="0"/>
      </w:numPr>
      <w:ind w:hanging="0" w:left="720" w:right="0"/>
    </w:pPr>
    <w:rPr/>
  </w:style>
  <w:style w:type="paragraph" w:styleId="ListBullet">
    <w:name w:val="List Bullet"/>
    <w:basedOn w:val="Normal"/>
    <w:qFormat/>
    <w:pPr>
      <w:numPr>
        <w:ilvl w:val="0"/>
        <w:numId w:val="0"/>
      </w:numPr>
      <w:tabs>
        <w:tab w:val="clear" w:pos="708"/>
        <w:tab w:val="left" w:pos="360" w:leader="none"/>
      </w:tabs>
      <w:spacing w:lineRule="auto" w:line="259" w:before="0" w:after="160"/>
      <w:ind w:hanging="360" w:left="360" w:right="0"/>
    </w:pPr>
    <w:rPr>
      <w:rFonts w:eastAsia="Times New Roman"/>
    </w:rPr>
  </w:style>
  <w:style w:type="paragraph" w:styleId="Default">
    <w:name w:val="Default"/>
    <w:basedOn w:val="Normal"/>
    <w:qFormat/>
    <w:pPr>
      <w:widowControl w:val="false"/>
      <w:numPr>
        <w:ilvl w:val="0"/>
        <w:numId w:val="0"/>
      </w:numPr>
      <w:suppressAutoHyphens w:val="true"/>
      <w:spacing w:lineRule="auto" w:line="240" w:before="0" w:after="0"/>
    </w:pPr>
    <w:rPr>
      <w:rFonts w:ascii="Times New Roman" w:hAnsi="Times New Roman" w:eastAsia="Times New Roman"/>
      <w:color w:val="000000"/>
      <w:kern w:val="2"/>
      <w:sz w:val="24"/>
      <w:szCs w:val="24"/>
      <w:lang w:eastAsia="zh-CN" w:bidi="hi-IN"/>
    </w:rPr>
  </w:style>
  <w:style w:type="paragraph" w:styleId="tekst">
    <w:name w:val="tekst"/>
    <w:basedOn w:val="Header"/>
    <w:qFormat/>
    <w:pPr>
      <w:widowControl w:val="false"/>
      <w:numPr>
        <w:ilvl w:val="0"/>
        <w:numId w:val="0"/>
      </w:numPr>
      <w:tabs>
        <w:tab w:val="clear" w:pos="4536"/>
        <w:tab w:val="clear" w:pos="9072"/>
      </w:tabs>
      <w:ind w:hanging="0" w:left="708" w:right="0"/>
      <w:jc w:val="both"/>
    </w:pPr>
    <w:rPr>
      <w:rFonts w:ascii="Arial" w:hAnsi="Arial"/>
      <w:sz w:val="24"/>
      <w:szCs w:val="20"/>
      <w:lang w:eastAsia="pl-PL"/>
    </w:rPr>
  </w:style>
  <w:style w:type="paragraph" w:styleId="PROBUDST-tabela">
    <w:name w:val="PROBUD ST-tabela"/>
    <w:basedOn w:val="Normal"/>
    <w:qFormat/>
    <w:pPr>
      <w:numPr>
        <w:ilvl w:val="0"/>
        <w:numId w:val="0"/>
      </w:numPr>
      <w:suppressAutoHyphens w:val="true"/>
      <w:spacing w:lineRule="auto" w:line="240" w:before="120" w:after="0"/>
      <w:jc w:val="both"/>
    </w:pPr>
    <w:rPr>
      <w:rFonts w:eastAsia="Times New Roman" w:cs="Arial"/>
      <w:kern w:val="2"/>
      <w:sz w:val="20"/>
      <w:lang w:eastAsia="zh-CN"/>
    </w:rPr>
  </w:style>
  <w:style w:type="paragraph" w:styleId="Style15">
    <w:name w:val="Style15"/>
    <w:basedOn w:val="Normal"/>
    <w:qFormat/>
    <w:pPr>
      <w:widowControl w:val="false"/>
      <w:numPr>
        <w:ilvl w:val="0"/>
        <w:numId w:val="0"/>
      </w:numPr>
      <w:spacing w:lineRule="exact" w:line="206" w:before="0" w:after="0"/>
      <w:jc w:val="both"/>
    </w:pPr>
    <w:rPr>
      <w:rFonts w:ascii="Times New Roman" w:hAnsi="Times New Roman" w:eastAsia="Times New Roman" w:cs="Calibri, 'Century Gothic'"/>
      <w:kern w:val="2"/>
      <w:sz w:val="24"/>
      <w:szCs w:val="24"/>
      <w:lang w:eastAsia="pl-PL"/>
    </w:rPr>
  </w:style>
  <w:style w:type="paragraph" w:styleId="divpkt">
    <w:name w:val="div.pkt"/>
    <w:qFormat/>
    <w:pPr>
      <w:widowControl w:val="false"/>
      <w:numPr>
        <w:ilvl w:val="0"/>
        <w:numId w:val="0"/>
      </w:numPr>
      <w:suppressAutoHyphens w:val="true"/>
      <w:overflowPunct w:val="false"/>
      <w:bidi w:val="0"/>
      <w:spacing w:lineRule="atLeast" w:line="40" w:before="0" w:after="0"/>
      <w:ind w:hanging="0" w:left="240" w:right="0"/>
      <w:jc w:val="both"/>
    </w:pPr>
    <w:rPr>
      <w:rFonts w:ascii="Helvetica" w:hAnsi="Helvetica" w:eastAsia="Times New Roman" w:cs="Helvetica"/>
      <w:color w:val="000000"/>
      <w:kern w:val="0"/>
      <w:sz w:val="18"/>
      <w:szCs w:val="18"/>
      <w:lang w:val="pl-PL" w:eastAsia="pl-PL" w:bidi="ar-SA"/>
    </w:rPr>
  </w:style>
  <w:style w:type="paragraph" w:styleId="western">
    <w:name w:val="western"/>
    <w:basedOn w:val="Normal"/>
    <w:qFormat/>
    <w:pPr>
      <w:numPr>
        <w:ilvl w:val="0"/>
        <w:numId w:val="0"/>
      </w:numPr>
      <w:suppressAutoHyphens w:val="true"/>
      <w:spacing w:lineRule="auto" w:line="240" w:before="280" w:after="0"/>
      <w:jc w:val="both"/>
    </w:pPr>
    <w:rPr>
      <w:rFonts w:ascii="Arial" w:hAnsi="Arial" w:eastAsia="Times New Roman" w:cs="Arial"/>
      <w:kern w:val="2"/>
      <w:sz w:val="20"/>
      <w:szCs w:val="20"/>
      <w:lang w:eastAsia="zh-CN"/>
    </w:rPr>
  </w:style>
  <w:style w:type="paragraph" w:styleId="Nagwektabeliuser">
    <w:name w:val="Nagłówek tabeli (user)"/>
    <w:basedOn w:val="Zawartotabeliuser"/>
    <w:qFormat/>
    <w:pPr>
      <w:suppressLineNumbers/>
      <w:jc w:val="center"/>
    </w:pPr>
    <w:rPr>
      <w:b/>
      <w:bCs/>
    </w:rPr>
  </w:style>
  <w:style w:type="paragraph" w:styleId="Normalny">
    <w:name w:val="Normalny"/>
    <w:qFormat/>
    <w:pPr>
      <w:widowControl w:val="false"/>
      <w:suppressAutoHyphens w:val="true"/>
      <w:overflowPunct w:val="false"/>
      <w:bidi w:val="0"/>
      <w:spacing w:before="0" w:after="0"/>
      <w:jc w:val="left"/>
    </w:pPr>
    <w:rPr>
      <w:rFonts w:ascii="Calibri" w:hAnsi="Calibri" w:eastAsia="Calibri" w:cs="Times New Roman"/>
      <w:color w:val="auto"/>
      <w:kern w:val="0"/>
      <w:sz w:val="22"/>
      <w:szCs w:val="22"/>
      <w:lang w:val="pl-PL" w:eastAsia="pl-PL" w:bidi="ar-SA"/>
    </w:rPr>
  </w:style>
  <w:style w:type="paragraph" w:styleId="Akapitzlist">
    <w:name w:val="Akapit z listą"/>
    <w:basedOn w:val="Normal"/>
    <w:qFormat/>
    <w:pPr>
      <w:tabs>
        <w:tab w:val="clear" w:pos="708"/>
      </w:tabs>
      <w:suppressAutoHyphens w:val="true"/>
      <w:ind w:hanging="286" w:left="1021" w:right="0"/>
    </w:pPr>
    <w:rPr>
      <w:rFonts w:ascii="Arial" w:hAnsi="Arial" w:eastAsia="Arial" w:cs="Arial"/>
      <w:lang w:eastAsia="en-US" w:bidi="ar-SA"/>
    </w:rPr>
  </w:style>
  <w:style w:type="paragraph" w:styleId="Zawartoramkiuser">
    <w:name w:val="Zawartość ramki (user)"/>
    <w:basedOn w:val="Normal"/>
    <w:qFormat/>
    <w:pPr/>
    <w:rPr/>
  </w:style>
  <w:style w:type="paragraph" w:styleId="TOC4">
    <w:name w:val="toc 4"/>
    <w:basedOn w:val="Indeks"/>
    <w:pPr/>
    <w:rPr/>
  </w:style>
  <w:style w:type="paragraph" w:styleId="TOC5">
    <w:name w:val="toc 5"/>
    <w:basedOn w:val="Indeks"/>
    <w:pPr/>
    <w:rPr/>
  </w:style>
  <w:style w:type="paragraph" w:styleId="TOC6">
    <w:name w:val="toc 6"/>
    <w:basedOn w:val="Indeks"/>
    <w:pPr/>
    <w:rPr/>
  </w:style>
  <w:style w:type="paragraph" w:styleId="TOC7">
    <w:name w:val="toc 7"/>
    <w:basedOn w:val="Indeks"/>
    <w:pPr/>
    <w:rPr/>
  </w:style>
  <w:style w:type="paragraph" w:styleId="TOC8">
    <w:name w:val="toc 8"/>
    <w:basedOn w:val="Indeks"/>
    <w:pPr/>
    <w:rPr/>
  </w:style>
  <w:style w:type="paragraph" w:styleId="TOC9">
    <w:name w:val="toc 9"/>
    <w:basedOn w:val="Indeks"/>
    <w:pPr/>
    <w:rPr/>
  </w:style>
  <w:style w:type="paragraph" w:styleId="Zawartoramki">
    <w:name w:val="Zawartość ramki"/>
    <w:basedOn w:val="Normal"/>
    <w:qFormat/>
    <w:pPr/>
    <w:rPr/>
  </w:style>
  <w:style w:type="numbering" w:styleId="WW8Num19">
    <w:name w:val="WW8Num19"/>
    <w:qFormat/>
  </w:style>
  <w:style w:type="numbering" w:styleId="WW8Num16">
    <w:name w:val="WW8Num16"/>
    <w:qFormat/>
  </w:style>
  <w:style w:type="numbering" w:styleId="WW8Num26">
    <w:name w:val="WW8Num26"/>
    <w:qFormat/>
  </w:style>
  <w:style w:type="numbering" w:styleId="WW8Num43">
    <w:name w:val="WW8Num43"/>
    <w:qFormat/>
  </w:style>
  <w:style w:type="numbering" w:styleId="WW8Num20">
    <w:name w:val="WW8Num20"/>
    <w:qFormat/>
  </w:style>
  <w:style w:type="numbering" w:styleId="WW8Num4">
    <w:name w:val="WW8Num4"/>
    <w:qFormat/>
  </w:style>
  <w:style w:type="numbering" w:styleId="WW8Num46">
    <w:name w:val="WW8Num46"/>
    <w:qFormat/>
  </w:style>
  <w:style w:type="numbering" w:styleId="WW8Num34">
    <w:name w:val="WW8Num34"/>
    <w:qFormat/>
  </w:style>
  <w:style w:type="numbering" w:styleId="WW8Num32">
    <w:name w:val="WW8Num32"/>
    <w:qFormat/>
  </w:style>
  <w:style w:type="numbering" w:styleId="WW8Num37">
    <w:name w:val="WW8Num37"/>
    <w:qFormat/>
  </w:style>
  <w:style w:type="numbering" w:styleId="WW8Num42">
    <w:name w:val="WW8Num42"/>
    <w:qFormat/>
  </w:style>
  <w:style w:type="numbering" w:styleId="WW8Num13">
    <w:name w:val="WW8Num1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jpeg"/><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4755</TotalTime>
  <Application>LibreOffice/25.8.4.2$Windows_X86_64 LibreOffice_project/290daaa01b999472f0c7a3890eb6a550fd74c6df</Application>
  <AppVersion>15.0000</AppVersion>
  <Pages>35</Pages>
  <Words>9271</Words>
  <Characters>60884</Characters>
  <CharactersWithSpaces>69681</CharactersWithSpaces>
  <Paragraphs>653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2022-09-16T14:56:00Z</dcterms:created>
  <dc:creator>GHC</dc:creator>
  <dc:description/>
  <dc:language>pl-PL</dc:language>
  <cp:lastModifiedBy/>
  <cp:lastPrinted>2025-12-30T11:37:26Z</cp:lastPrinted>
  <dcterms:modified xsi:type="dcterms:W3CDTF">2025-12-30T11:24:12Z</dcterms:modified>
  <cp:revision>109</cp:revision>
  <dc:subject/>
  <dc:title>INWENTARYZACJA ARCHITEKTONICZNA ISTNIEJĄCEGO BUDYNKU MIESZKALNEGO W RADŁOWIE NA DZ</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